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536"/>
        <w:gridCol w:w="5544"/>
      </w:tblGrid>
      <w:tr w:rsidR="00B71230">
        <w:tc>
          <w:tcPr>
            <w:tcW w:w="2250" w:type="pct"/>
            <w:tcBorders>
              <w:top w:val="none" w:sz="0" w:space="0" w:color="FFFFFF"/>
              <w:left w:val="none" w:sz="0" w:space="0" w:color="FFFFFF"/>
              <w:bottom w:val="none" w:sz="0" w:space="0" w:color="FFFFFF"/>
              <w:right w:val="none" w:sz="0" w:space="0" w:color="FFFFFF"/>
            </w:tcBorders>
          </w:tcPr>
          <w:p w:rsidR="00B71230" w:rsidRDefault="00640E4A">
            <w:pPr>
              <w:spacing w:after="160"/>
            </w:pPr>
            <w:r>
              <w:rPr>
                <w:rFonts w:ascii="Calibri" w:eastAsia="Calibri" w:hAnsi="Calibri" w:cs="Calibri"/>
                <w:b/>
                <w:bCs/>
                <w:color w:val="1F4E79"/>
                <w:sz w:val="22"/>
                <w:szCs w:val="22"/>
              </w:rPr>
              <w:t>FOR IMMEDIATE RELEASE</w:t>
            </w:r>
          </w:p>
        </w:tc>
        <w:tc>
          <w:tcPr>
            <w:tcW w:w="2750" w:type="pct"/>
            <w:tcBorders>
              <w:top w:val="none" w:sz="0" w:space="0" w:color="FFFFFF"/>
              <w:left w:val="none" w:sz="0" w:space="0" w:color="FFFFFF"/>
              <w:bottom w:val="none" w:sz="0" w:space="0" w:color="FFFFFF"/>
              <w:right w:val="none" w:sz="0" w:space="0" w:color="FFFFFF"/>
            </w:tcBorders>
          </w:tcPr>
          <w:p w:rsidR="00B71230" w:rsidRDefault="00640E4A" w:rsidP="00D92397">
            <w:pPr>
              <w:spacing w:after="40"/>
              <w:jc w:val="right"/>
            </w:pPr>
            <w:r>
              <w:rPr>
                <w:rFonts w:ascii="Calibri" w:eastAsia="Calibri" w:hAnsi="Calibri" w:cs="Calibri"/>
                <w:b/>
                <w:bCs/>
                <w:color w:val="000000"/>
                <w:sz w:val="18"/>
                <w:szCs w:val="18"/>
              </w:rPr>
              <w:t>Media Contact:</w:t>
            </w:r>
          </w:p>
          <w:p w:rsidR="00B71230" w:rsidRPr="00095266" w:rsidRDefault="00640E4A">
            <w:pPr>
              <w:spacing w:after="20"/>
              <w:jc w:val="right"/>
            </w:pPr>
            <w:r w:rsidRPr="00095266">
              <w:rPr>
                <w:bCs/>
                <w:sz w:val="18"/>
                <w:szCs w:val="18"/>
              </w:rPr>
              <w:t>Sammy Park, Managing Director</w:t>
            </w:r>
          </w:p>
          <w:p w:rsidR="00B71230" w:rsidRDefault="00640E4A">
            <w:pPr>
              <w:spacing w:after="20"/>
              <w:jc w:val="right"/>
            </w:pPr>
            <w:proofErr w:type="spellStart"/>
            <w:r>
              <w:rPr>
                <w:sz w:val="18"/>
                <w:szCs w:val="18"/>
              </w:rPr>
              <w:t>ConsumerInsight</w:t>
            </w:r>
            <w:proofErr w:type="spellEnd"/>
          </w:p>
          <w:p w:rsidR="00B71230" w:rsidRDefault="00640E4A">
            <w:pPr>
              <w:spacing w:after="20"/>
              <w:jc w:val="right"/>
            </w:pPr>
            <w:r>
              <w:rPr>
                <w:sz w:val="18"/>
                <w:szCs w:val="18"/>
              </w:rPr>
              <w:t>Email: sammy.park@consumerinsight.kr</w:t>
            </w:r>
          </w:p>
          <w:p w:rsidR="00B71230" w:rsidRDefault="00640E4A">
            <w:pPr>
              <w:spacing w:after="140"/>
              <w:jc w:val="right"/>
            </w:pPr>
            <w:r>
              <w:rPr>
                <w:sz w:val="18"/>
                <w:szCs w:val="18"/>
              </w:rPr>
              <w:t>Phone: +82-2-6004-7661</w:t>
            </w:r>
          </w:p>
          <w:p w:rsidR="00B71230" w:rsidRPr="00095266" w:rsidRDefault="00640E4A">
            <w:pPr>
              <w:spacing w:after="20"/>
              <w:jc w:val="right"/>
            </w:pPr>
            <w:proofErr w:type="spellStart"/>
            <w:r w:rsidRPr="00095266">
              <w:rPr>
                <w:bCs/>
                <w:sz w:val="18"/>
                <w:szCs w:val="18"/>
              </w:rPr>
              <w:t>Yanghyuk</w:t>
            </w:r>
            <w:proofErr w:type="spellEnd"/>
            <w:r w:rsidRPr="00095266">
              <w:rPr>
                <w:bCs/>
                <w:sz w:val="18"/>
                <w:szCs w:val="18"/>
              </w:rPr>
              <w:t xml:space="preserve"> Kim, Research Fellow</w:t>
            </w:r>
          </w:p>
          <w:p w:rsidR="00B71230" w:rsidRDefault="00640E4A">
            <w:pPr>
              <w:spacing w:after="20"/>
              <w:jc w:val="right"/>
            </w:pPr>
            <w:proofErr w:type="spellStart"/>
            <w:r>
              <w:rPr>
                <w:sz w:val="18"/>
                <w:szCs w:val="18"/>
              </w:rPr>
              <w:t>ConsumerInsight</w:t>
            </w:r>
            <w:proofErr w:type="spellEnd"/>
          </w:p>
          <w:p w:rsidR="00B71230" w:rsidRDefault="00640E4A">
            <w:pPr>
              <w:spacing w:after="20"/>
              <w:jc w:val="right"/>
            </w:pPr>
            <w:r>
              <w:rPr>
                <w:sz w:val="18"/>
                <w:szCs w:val="18"/>
              </w:rPr>
              <w:t>Email: kimyh@consumerinsight.kr</w:t>
            </w:r>
          </w:p>
          <w:p w:rsidR="00B71230" w:rsidRDefault="00640E4A">
            <w:pPr>
              <w:jc w:val="right"/>
            </w:pPr>
            <w:r>
              <w:rPr>
                <w:sz w:val="18"/>
                <w:szCs w:val="18"/>
              </w:rPr>
              <w:t>Phone: +82-2-6004-7604</w:t>
            </w:r>
          </w:p>
        </w:tc>
      </w:tr>
    </w:tbl>
    <w:p w:rsidR="00B71230" w:rsidRDefault="00B71230">
      <w:pPr>
        <w:pBdr>
          <w:bottom w:val="single" w:sz="6" w:space="4" w:color="BFBFBF"/>
        </w:pBdr>
        <w:spacing w:after="300"/>
      </w:pPr>
      <w:bookmarkStart w:id="0" w:name="_GoBack"/>
      <w:bookmarkEnd w:id="0"/>
    </w:p>
    <w:p w:rsidR="00B71230" w:rsidRPr="00911147" w:rsidRDefault="00640E4A">
      <w:pPr>
        <w:spacing w:after="60"/>
        <w:rPr>
          <w:rFonts w:ascii="Calibri" w:hAnsi="Calibri" w:cs="Calibri"/>
        </w:rPr>
      </w:pPr>
      <w:proofErr w:type="spellStart"/>
      <w:r w:rsidRPr="00911147">
        <w:rPr>
          <w:rFonts w:ascii="Calibri" w:hAnsi="Calibri" w:cs="Calibri"/>
          <w:b/>
          <w:bCs/>
          <w:color w:val="1F4E79"/>
          <w:sz w:val="34"/>
          <w:szCs w:val="34"/>
        </w:rPr>
        <w:t>ConsumerInsight</w:t>
      </w:r>
      <w:proofErr w:type="spellEnd"/>
      <w:r w:rsidRPr="00911147">
        <w:rPr>
          <w:rFonts w:ascii="Calibri" w:hAnsi="Calibri" w:cs="Calibri"/>
          <w:b/>
          <w:bCs/>
          <w:color w:val="1F4E79"/>
          <w:sz w:val="34"/>
          <w:szCs w:val="34"/>
        </w:rPr>
        <w:t xml:space="preserve"> Quantifies the </w:t>
      </w:r>
      <w:r w:rsidR="00721BC7" w:rsidRPr="00911147">
        <w:rPr>
          <w:rFonts w:ascii="Calibri" w:hAnsi="Calibri" w:cs="Calibri"/>
          <w:b/>
          <w:bCs/>
          <w:color w:val="1F4E79"/>
          <w:sz w:val="34"/>
          <w:szCs w:val="34"/>
        </w:rPr>
        <w:t>‘</w:t>
      </w:r>
      <w:r w:rsidRPr="00911147">
        <w:rPr>
          <w:rFonts w:ascii="Calibri" w:hAnsi="Calibri" w:cs="Calibri"/>
          <w:b/>
          <w:bCs/>
          <w:color w:val="1F4E79"/>
          <w:sz w:val="34"/>
          <w:szCs w:val="34"/>
        </w:rPr>
        <w:t>Say-Do Gap</w:t>
      </w:r>
      <w:r w:rsidR="00721BC7" w:rsidRPr="00911147">
        <w:rPr>
          <w:rFonts w:ascii="Calibri" w:hAnsi="Calibri" w:cs="Calibri"/>
          <w:b/>
          <w:bCs/>
          <w:color w:val="1F4E79"/>
          <w:sz w:val="34"/>
          <w:szCs w:val="34"/>
        </w:rPr>
        <w:t>’</w:t>
      </w:r>
      <w:r w:rsidRPr="00911147">
        <w:rPr>
          <w:rFonts w:ascii="Calibri" w:hAnsi="Calibri" w:cs="Calibri"/>
          <w:b/>
          <w:bCs/>
          <w:color w:val="1F4E79"/>
          <w:sz w:val="34"/>
          <w:szCs w:val="34"/>
        </w:rPr>
        <w:t xml:space="preserve"> in Car Buying: 52% Planned to Buy Within Two Years, Only One in Four Followed Through</w:t>
      </w:r>
    </w:p>
    <w:p w:rsidR="00B71230" w:rsidRDefault="00640E4A">
      <w:pPr>
        <w:spacing w:after="200"/>
      </w:pPr>
      <w:r>
        <w:rPr>
          <w:rFonts w:ascii="Calibri" w:eastAsia="Calibri" w:hAnsi="Calibri" w:cs="Calibri"/>
          <w:b/>
          <w:bCs/>
          <w:color w:val="1F4E79"/>
          <w:sz w:val="22"/>
          <w:szCs w:val="22"/>
        </w:rPr>
        <w:t xml:space="preserve">Korea’s first large-scale, longitudinal study of the consumer </w:t>
      </w:r>
      <w:r w:rsidR="00C50EFA">
        <w:rPr>
          <w:rFonts w:ascii="Calibri" w:eastAsia="Calibri" w:hAnsi="Calibri" w:cs="Calibri"/>
          <w:b/>
          <w:bCs/>
          <w:color w:val="1F4E79"/>
          <w:sz w:val="22"/>
          <w:szCs w:val="22"/>
        </w:rPr>
        <w:t>‘</w:t>
      </w:r>
      <w:r>
        <w:rPr>
          <w:rFonts w:ascii="Calibri" w:eastAsia="Calibri" w:hAnsi="Calibri" w:cs="Calibri"/>
          <w:b/>
          <w:bCs/>
          <w:color w:val="1F4E79"/>
          <w:sz w:val="22"/>
          <w:szCs w:val="22"/>
        </w:rPr>
        <w:t>Say-Do Gap</w:t>
      </w:r>
      <w:r w:rsidR="00C50EFA">
        <w:rPr>
          <w:rFonts w:ascii="Calibri" w:eastAsia="Calibri" w:hAnsi="Calibri" w:cs="Calibri"/>
          <w:b/>
          <w:bCs/>
          <w:color w:val="1F4E79"/>
          <w:sz w:val="22"/>
          <w:szCs w:val="22"/>
        </w:rPr>
        <w:t>’</w:t>
      </w:r>
      <w:r>
        <w:rPr>
          <w:rFonts w:ascii="Calibri" w:eastAsia="Calibri" w:hAnsi="Calibri" w:cs="Calibri"/>
          <w:b/>
          <w:bCs/>
          <w:color w:val="1F4E79"/>
          <w:sz w:val="22"/>
          <w:szCs w:val="22"/>
        </w:rPr>
        <w:t xml:space="preserve"> tracks 29,182 consumers over two years, showing that stated purchase intent remains a powerful demand signal — intenders went on to buy at </w:t>
      </w:r>
      <w:r w:rsidR="00C50EFA" w:rsidRPr="00C50EFA">
        <w:rPr>
          <w:rFonts w:ascii="Calibri" w:eastAsia="Calibri" w:hAnsi="Calibri" w:cs="Calibri"/>
          <w:b/>
          <w:bCs/>
          <w:color w:val="1F4E79"/>
          <w:sz w:val="22"/>
          <w:szCs w:val="22"/>
        </w:rPr>
        <w:t>nearly</w:t>
      </w:r>
      <w:r>
        <w:rPr>
          <w:rFonts w:ascii="Calibri" w:eastAsia="Calibri" w:hAnsi="Calibri" w:cs="Calibri"/>
          <w:b/>
          <w:bCs/>
          <w:color w:val="1F4E79"/>
          <w:sz w:val="22"/>
          <w:szCs w:val="22"/>
        </w:rPr>
        <w:t xml:space="preserve"> than double the rate of non-intenders.</w:t>
      </w:r>
    </w:p>
    <w:p w:rsidR="00B71230" w:rsidRPr="00D92397" w:rsidRDefault="00640E4A">
      <w:pPr>
        <w:spacing w:after="260"/>
        <w:rPr>
          <w:b/>
          <w:sz w:val="28"/>
          <w:szCs w:val="28"/>
        </w:rPr>
      </w:pPr>
      <w:r w:rsidRPr="00D92397">
        <w:rPr>
          <w:rFonts w:ascii="Calibri" w:eastAsia="Calibri" w:hAnsi="Calibri" w:cs="Calibri"/>
          <w:b/>
          <w:i/>
          <w:iCs/>
          <w:color w:val="595959"/>
          <w:sz w:val="28"/>
          <w:szCs w:val="28"/>
        </w:rPr>
        <w:t>The Say-Do Gap Series</w:t>
      </w:r>
      <w:r w:rsidR="00D20E0B" w:rsidRPr="00D20E0B">
        <w:rPr>
          <w:rFonts w:ascii="맑은 고딕" w:eastAsia="맑은 고딕" w:hAnsi="맑은 고딕" w:cs="맑은 고딕" w:hint="eastAsia"/>
          <w:b/>
          <w:i/>
          <w:iCs/>
          <w:color w:val="595959"/>
          <w:sz w:val="28"/>
          <w:szCs w:val="28"/>
        </w:rPr>
        <w:t>Ⅰ</w:t>
      </w:r>
      <w:r w:rsidRPr="00D92397">
        <w:rPr>
          <w:rFonts w:ascii="Calibri" w:eastAsia="Calibri" w:hAnsi="Calibri" w:cs="Calibri"/>
          <w:b/>
          <w:i/>
          <w:iCs/>
          <w:color w:val="595959"/>
          <w:sz w:val="28"/>
          <w:szCs w:val="28"/>
        </w:rPr>
        <w:t>: Intention vs. Purchase</w:t>
      </w:r>
      <w:r w:rsidR="00721BC7">
        <w:rPr>
          <w:rFonts w:ascii="Calibri" w:eastAsia="Calibri" w:hAnsi="Calibri" w:cs="Calibri"/>
          <w:b/>
          <w:i/>
          <w:iCs/>
          <w:color w:val="595959"/>
          <w:sz w:val="28"/>
          <w:szCs w:val="28"/>
        </w:rPr>
        <w:t xml:space="preserve"> </w:t>
      </w:r>
      <w:r w:rsidR="00721BC7" w:rsidRPr="00721BC7">
        <w:rPr>
          <w:rFonts w:ascii="Calibri" w:eastAsia="Calibri" w:hAnsi="Calibri" w:cs="Calibri"/>
          <w:b/>
          <w:i/>
          <w:iCs/>
          <w:color w:val="595959"/>
          <w:sz w:val="28"/>
          <w:szCs w:val="28"/>
        </w:rPr>
        <w:t>within Two Years</w:t>
      </w:r>
    </w:p>
    <w:tbl>
      <w:tblPr>
        <w:tblW w:w="5000" w:type="pct"/>
        <w:tblBorders>
          <w:top w:val="single" w:sz="4" w:space="0" w:color="EEF3F8"/>
          <w:left w:val="single" w:sz="24" w:space="0" w:color="1F4E79"/>
          <w:bottom w:val="single" w:sz="4" w:space="0" w:color="EEF3F8"/>
          <w:right w:val="single" w:sz="4" w:space="0" w:color="EEF3F8"/>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0045"/>
      </w:tblGrid>
      <w:tr w:rsidR="00B71230">
        <w:tc>
          <w:tcPr>
            <w:tcW w:w="0" w:type="auto"/>
            <w:shd w:val="clear" w:color="auto" w:fill="EEF3F8"/>
            <w:tcMar>
              <w:top w:w="160" w:type="dxa"/>
              <w:left w:w="200" w:type="dxa"/>
              <w:bottom w:w="160" w:type="dxa"/>
              <w:right w:w="200" w:type="dxa"/>
            </w:tcMar>
          </w:tcPr>
          <w:p w:rsidR="00B71230" w:rsidRDefault="00640E4A">
            <w:pPr>
              <w:pStyle w:val="a4"/>
              <w:numPr>
                <w:ilvl w:val="0"/>
                <w:numId w:val="2"/>
              </w:numPr>
              <w:spacing w:after="90"/>
            </w:pPr>
            <w:r>
              <w:rPr>
                <w:rFonts w:ascii="Calibri" w:eastAsia="Calibri" w:hAnsi="Calibri" w:cs="Calibri"/>
                <w:color w:val="000000"/>
                <w:sz w:val="21"/>
                <w:szCs w:val="21"/>
              </w:rPr>
              <w:t>First domestic study to quantify the consumer intention-to-purchase conversion rate, based on an unprecedented large-scale, longitudinal dataset of individually matched respondents.</w:t>
            </w:r>
          </w:p>
          <w:p w:rsidR="00B71230" w:rsidRDefault="00640E4A">
            <w:pPr>
              <w:pStyle w:val="a4"/>
              <w:numPr>
                <w:ilvl w:val="0"/>
                <w:numId w:val="2"/>
              </w:numPr>
              <w:spacing w:after="90"/>
            </w:pPr>
            <w:r>
              <w:rPr>
                <w:rFonts w:ascii="Calibri" w:eastAsia="Calibri" w:hAnsi="Calibri" w:cs="Calibri"/>
                <w:color w:val="000000"/>
                <w:sz w:val="21"/>
                <w:szCs w:val="21"/>
              </w:rPr>
              <w:t>In 2023, 52% of tracked consumers said they intended to buy a vehicle within two years.</w:t>
            </w:r>
          </w:p>
          <w:p w:rsidR="00B71230" w:rsidRDefault="00640E4A">
            <w:pPr>
              <w:pStyle w:val="a4"/>
              <w:numPr>
                <w:ilvl w:val="0"/>
                <w:numId w:val="2"/>
              </w:numPr>
              <w:spacing w:after="90"/>
            </w:pPr>
            <w:r>
              <w:rPr>
                <w:rFonts w:ascii="Calibri" w:eastAsia="Calibri" w:hAnsi="Calibri" w:cs="Calibri"/>
                <w:color w:val="000000"/>
                <w:sz w:val="21"/>
                <w:szCs w:val="21"/>
              </w:rPr>
              <w:t>By July 2025, only 25% of those intenders — one in four — had actually purchased a vehicle.</w:t>
            </w:r>
          </w:p>
          <w:p w:rsidR="00B71230" w:rsidRDefault="00640E4A">
            <w:pPr>
              <w:pStyle w:val="a4"/>
              <w:numPr>
                <w:ilvl w:val="0"/>
                <w:numId w:val="2"/>
              </w:numPr>
              <w:spacing w:after="90"/>
            </w:pPr>
            <w:r>
              <w:rPr>
                <w:rFonts w:ascii="Calibri" w:eastAsia="Calibri" w:hAnsi="Calibri" w:cs="Calibri"/>
                <w:color w:val="000000"/>
                <w:sz w:val="21"/>
                <w:szCs w:val="21"/>
              </w:rPr>
              <w:t>Among consumers with no purchase plan, 13% went on to buy a vehicle anyway.</w:t>
            </w:r>
          </w:p>
          <w:p w:rsidR="00B71230" w:rsidRDefault="00640E4A">
            <w:pPr>
              <w:pStyle w:val="a4"/>
              <w:numPr>
                <w:ilvl w:val="0"/>
                <w:numId w:val="2"/>
              </w:numPr>
              <w:spacing w:after="90"/>
            </w:pPr>
            <w:r>
              <w:rPr>
                <w:rFonts w:ascii="Calibri" w:eastAsia="Calibri" w:hAnsi="Calibri" w:cs="Calibri"/>
                <w:color w:val="000000"/>
                <w:sz w:val="21"/>
                <w:szCs w:val="21"/>
              </w:rPr>
              <w:t>Of all actual buyers, roughly two-thirds had originally intended to buy and one-third had not.</w:t>
            </w:r>
          </w:p>
          <w:p w:rsidR="00B71230" w:rsidRDefault="00640E4A">
            <w:pPr>
              <w:pStyle w:val="a4"/>
              <w:numPr>
                <w:ilvl w:val="0"/>
                <w:numId w:val="2"/>
              </w:numPr>
              <w:spacing w:after="90"/>
            </w:pPr>
            <w:r>
              <w:rPr>
                <w:rFonts w:ascii="Calibri" w:eastAsia="Calibri" w:hAnsi="Calibri" w:cs="Calibri"/>
                <w:color w:val="000000"/>
                <w:sz w:val="21"/>
                <w:szCs w:val="21"/>
              </w:rPr>
              <w:t xml:space="preserve">Among </w:t>
            </w:r>
            <w:r w:rsidR="00C50EFA" w:rsidRPr="00C50EFA">
              <w:rPr>
                <w:rFonts w:ascii="Calibri" w:eastAsia="Calibri" w:hAnsi="Calibri" w:cs="Calibri"/>
                <w:color w:val="000000"/>
                <w:sz w:val="21"/>
                <w:szCs w:val="21"/>
              </w:rPr>
              <w:t>planned buyers</w:t>
            </w:r>
            <w:r>
              <w:rPr>
                <w:rFonts w:ascii="Calibri" w:eastAsia="Calibri" w:hAnsi="Calibri" w:cs="Calibri"/>
                <w:color w:val="000000"/>
                <w:sz w:val="21"/>
                <w:szCs w:val="21"/>
              </w:rPr>
              <w:t>, only 44% purchased their originally preferred brand, and just 21% purchased their exact preferred model.</w:t>
            </w:r>
          </w:p>
        </w:tc>
      </w:tr>
    </w:tbl>
    <w:p w:rsidR="00B71230" w:rsidRDefault="00B71230">
      <w:pPr>
        <w:spacing w:after="200"/>
      </w:pPr>
    </w:p>
    <w:p w:rsidR="00B71230" w:rsidRDefault="00640E4A">
      <w:pPr>
        <w:spacing w:after="160"/>
      </w:pPr>
      <w:r>
        <w:rPr>
          <w:rFonts w:ascii="Calibri" w:eastAsia="Calibri" w:hAnsi="Calibri" w:cs="Calibri"/>
          <w:b/>
          <w:bCs/>
          <w:color w:val="000000"/>
          <w:sz w:val="21"/>
          <w:szCs w:val="21"/>
        </w:rPr>
        <w:t xml:space="preserve">SEOUL, South Korea — April 23, 2026 — </w:t>
      </w:r>
      <w:proofErr w:type="spellStart"/>
      <w:r>
        <w:rPr>
          <w:rFonts w:ascii="Calibri" w:eastAsia="Calibri" w:hAnsi="Calibri" w:cs="Calibri"/>
          <w:color w:val="000000"/>
          <w:sz w:val="21"/>
          <w:szCs w:val="21"/>
        </w:rPr>
        <w:t>ConsumerInsight</w:t>
      </w:r>
      <w:proofErr w:type="spellEnd"/>
      <w:r>
        <w:rPr>
          <w:rFonts w:ascii="Calibri" w:eastAsia="Calibri" w:hAnsi="Calibri" w:cs="Calibri"/>
          <w:color w:val="000000"/>
          <w:sz w:val="21"/>
          <w:szCs w:val="21"/>
        </w:rPr>
        <w:t xml:space="preserve">, a leading automotive market research firm, today released new findings on the consumer </w:t>
      </w:r>
      <w:r w:rsidR="00AF675C">
        <w:rPr>
          <w:rFonts w:ascii="Calibri" w:eastAsia="Calibri" w:hAnsi="Calibri" w:cs="Calibri"/>
          <w:color w:val="000000"/>
          <w:sz w:val="21"/>
          <w:szCs w:val="21"/>
        </w:rPr>
        <w:t>‘</w:t>
      </w:r>
      <w:r>
        <w:rPr>
          <w:rFonts w:ascii="Calibri" w:eastAsia="Calibri" w:hAnsi="Calibri" w:cs="Calibri"/>
          <w:color w:val="000000"/>
          <w:sz w:val="21"/>
          <w:szCs w:val="21"/>
        </w:rPr>
        <w:t>Say-Do Gap</w:t>
      </w:r>
      <w:r w:rsidR="00AF675C">
        <w:rPr>
          <w:rFonts w:ascii="Calibri" w:eastAsia="Calibri" w:hAnsi="Calibri" w:cs="Calibri"/>
          <w:color w:val="000000"/>
          <w:sz w:val="21"/>
          <w:szCs w:val="21"/>
        </w:rPr>
        <w:t>’</w:t>
      </w:r>
      <w:r>
        <w:rPr>
          <w:rFonts w:ascii="Calibri" w:eastAsia="Calibri" w:hAnsi="Calibri" w:cs="Calibri"/>
          <w:color w:val="000000"/>
          <w:sz w:val="21"/>
          <w:szCs w:val="21"/>
        </w:rPr>
        <w:t xml:space="preserve"> — the difference between what consumers say they intend to do and what they actually do — based on large-scale automotive survey data matched at the individual respondent level.</w:t>
      </w:r>
    </w:p>
    <w:p w:rsidR="00B71230" w:rsidRDefault="00640E4A">
      <w:pPr>
        <w:spacing w:after="160"/>
      </w:pPr>
      <w:r>
        <w:rPr>
          <w:rFonts w:ascii="Calibri" w:eastAsia="Calibri" w:hAnsi="Calibri" w:cs="Calibri"/>
          <w:color w:val="000000"/>
          <w:sz w:val="21"/>
          <w:szCs w:val="21"/>
        </w:rPr>
        <w:t>The analysis asks a simple question: among consumers who said in 2023 that they planned to buy a vehicle within two years, how many had actually done so by July 2025? The answer: about one in four. At the same time, even among consumers who said they had no plan to buy, about one in eight purchased a vehicle anyway. It is the first time this intention-to-behavior gap has been measured in Korea using individually matched, longitudinal data at this scale.</w:t>
      </w:r>
    </w:p>
    <w:p w:rsidR="00B71230" w:rsidRDefault="00640E4A">
      <w:pPr>
        <w:pBdr>
          <w:bottom w:val="single" w:sz="4" w:space="4" w:color="1F4E79"/>
        </w:pBdr>
        <w:spacing w:before="300" w:after="160"/>
      </w:pPr>
      <w:r>
        <w:rPr>
          <w:rFonts w:ascii="Calibri" w:eastAsia="Calibri" w:hAnsi="Calibri" w:cs="Calibri"/>
          <w:b/>
          <w:bCs/>
          <w:color w:val="1F4E79"/>
          <w:sz w:val="26"/>
          <w:szCs w:val="26"/>
        </w:rPr>
        <w:t>One in Four Intenders Followed Through</w:t>
      </w:r>
    </w:p>
    <w:p w:rsidR="00B71230" w:rsidRDefault="00640E4A">
      <w:pPr>
        <w:spacing w:after="160"/>
      </w:pPr>
      <w:r>
        <w:rPr>
          <w:rFonts w:ascii="Calibri" w:eastAsia="Calibri" w:hAnsi="Calibri" w:cs="Calibri"/>
          <w:color w:val="000000"/>
          <w:sz w:val="21"/>
          <w:szCs w:val="21"/>
        </w:rPr>
        <w:t xml:space="preserve">In the 2023 survey, 52% of matched respondents said they intended to buy a vehicle within two years [Table 1]. By the 2025 follow-up, 13% of all matched respondents were consumers who had expressed that intention and then actually purchased. Converted to the base of </w:t>
      </w:r>
      <w:r w:rsidR="00C50EFA" w:rsidRPr="00C50EFA">
        <w:rPr>
          <w:rFonts w:ascii="Calibri" w:eastAsia="Calibri" w:hAnsi="Calibri" w:cs="Calibri"/>
          <w:color w:val="000000"/>
          <w:sz w:val="21"/>
          <w:szCs w:val="21"/>
        </w:rPr>
        <w:t>planned buyers</w:t>
      </w:r>
      <w:r>
        <w:rPr>
          <w:rFonts w:ascii="Calibri" w:eastAsia="Calibri" w:hAnsi="Calibri" w:cs="Calibri"/>
          <w:color w:val="000000"/>
          <w:sz w:val="21"/>
          <w:szCs w:val="21"/>
        </w:rPr>
        <w:t>, the actual-purchase conversion rate was 25% — meaning only one in four who said they would buy actually did so within the period.</w:t>
      </w:r>
    </w:p>
    <w:p w:rsidR="00B71230" w:rsidRDefault="00640E4A">
      <w:pPr>
        <w:spacing w:after="160"/>
      </w:pPr>
      <w:r>
        <w:rPr>
          <w:rFonts w:ascii="Calibri" w:eastAsia="Calibri" w:hAnsi="Calibri" w:cs="Calibri"/>
          <w:color w:val="000000"/>
          <w:sz w:val="21"/>
          <w:szCs w:val="21"/>
        </w:rPr>
        <w:t>The gap also showed up on the other side of the market. Respondents with no two-year purchase plan made up 48% of the matched sample. Among them, 6% of the total sample — 13% within that group — purchased a vehicle anyway, roughly half the conversion rate of the intention group.</w:t>
      </w:r>
    </w:p>
    <w:p w:rsidR="00B71230" w:rsidRDefault="00640E4A">
      <w:pPr>
        <w:spacing w:after="160"/>
      </w:pPr>
      <w:r>
        <w:rPr>
          <w:rFonts w:ascii="Calibri" w:eastAsia="Calibri" w:hAnsi="Calibri" w:cs="Calibri"/>
          <w:color w:val="000000"/>
          <w:sz w:val="21"/>
          <w:szCs w:val="21"/>
        </w:rPr>
        <w:lastRenderedPageBreak/>
        <w:t>Overall, 19% of matched respondents purchased a vehicle by 2025. Of those buyers, about two-thirds had originally said they intended to buy, and one-third had not — underscoring that stated intention, while informative, captures only part of who ultimately enters the market.</w:t>
      </w:r>
    </w:p>
    <w:p w:rsidR="00B71230" w:rsidRDefault="00640E4A">
      <w:pPr>
        <w:spacing w:before="220" w:after="80"/>
      </w:pPr>
      <w:r>
        <w:rPr>
          <w:b/>
          <w:bCs/>
          <w:sz w:val="21"/>
          <w:szCs w:val="21"/>
        </w:rPr>
        <w:t xml:space="preserve">[Table 1] Comparison of Automotive Purchase Intention and Actual Behavior (The Say-Do </w:t>
      </w:r>
      <w:proofErr w:type="gramStart"/>
      <w:r>
        <w:rPr>
          <w:b/>
          <w:bCs/>
          <w:sz w:val="21"/>
          <w:szCs w:val="21"/>
        </w:rPr>
        <w:t>Gap)</w:t>
      </w:r>
      <w:r>
        <w:rPr>
          <w:i/>
          <w:iCs/>
          <w:color w:val="595959"/>
          <w:sz w:val="18"/>
          <w:szCs w:val="18"/>
        </w:rPr>
        <w:t xml:space="preserve">  Based</w:t>
      </w:r>
      <w:proofErr w:type="gramEnd"/>
      <w:r>
        <w:rPr>
          <w:i/>
          <w:iCs/>
          <w:color w:val="595959"/>
          <w:sz w:val="18"/>
          <w:szCs w:val="18"/>
        </w:rPr>
        <w:t xml:space="preserve"> on continuous respondents (N = 29,182)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48"/>
        <w:gridCol w:w="4032"/>
      </w:tblGrid>
      <w:tr w:rsidR="00B71230">
        <w:trPr>
          <w:tblHeader/>
        </w:trPr>
        <w:tc>
          <w:tcPr>
            <w:tcW w:w="3000" w:type="pct"/>
            <w:tcBorders>
              <w:top w:val="single" w:sz="8" w:space="0" w:color="000000"/>
              <w:left w:val="none" w:sz="0" w:space="0" w:color="FFFFFF"/>
              <w:bottom w:val="single" w:sz="8" w:space="0" w:color="000000"/>
              <w:right w:val="none" w:sz="0" w:space="0" w:color="FFFFFF"/>
            </w:tcBorders>
            <w:shd w:val="clear" w:color="auto" w:fill="D9E2F0"/>
            <w:tcMar>
              <w:top w:w="80" w:type="dxa"/>
              <w:left w:w="120" w:type="dxa"/>
              <w:bottom w:w="80" w:type="dxa"/>
              <w:right w:w="120" w:type="dxa"/>
            </w:tcMar>
            <w:vAlign w:val="center"/>
          </w:tcPr>
          <w:p w:rsidR="00B71230" w:rsidRDefault="00640E4A">
            <w:r>
              <w:rPr>
                <w:b/>
                <w:bCs/>
                <w:color w:val="000000"/>
                <w:sz w:val="19"/>
                <w:szCs w:val="19"/>
              </w:rPr>
              <w:t>Category</w:t>
            </w:r>
          </w:p>
        </w:tc>
        <w:tc>
          <w:tcPr>
            <w:tcW w:w="2000" w:type="pct"/>
            <w:tcBorders>
              <w:top w:val="single" w:sz="8" w:space="0" w:color="000000"/>
              <w:left w:val="none" w:sz="0" w:space="0" w:color="FFFFFF"/>
              <w:bottom w:val="single" w:sz="8" w:space="0" w:color="000000"/>
              <w:right w:val="none" w:sz="0" w:space="0" w:color="FFFFFF"/>
            </w:tcBorders>
            <w:shd w:val="clear" w:color="auto" w:fill="D9E2F0"/>
            <w:tcMar>
              <w:top w:w="80" w:type="dxa"/>
              <w:left w:w="120" w:type="dxa"/>
              <w:bottom w:w="80" w:type="dxa"/>
              <w:right w:w="120" w:type="dxa"/>
            </w:tcMar>
            <w:vAlign w:val="center"/>
          </w:tcPr>
          <w:p w:rsidR="00B71230" w:rsidRDefault="00640E4A">
            <w:pPr>
              <w:jc w:val="center"/>
            </w:pPr>
            <w:r>
              <w:rPr>
                <w:b/>
                <w:bCs/>
                <w:color w:val="000000"/>
                <w:sz w:val="19"/>
                <w:szCs w:val="19"/>
              </w:rPr>
              <w:t xml:space="preserve">% of Total Respondents </w:t>
            </w:r>
          </w:p>
        </w:tc>
      </w:tr>
      <w:tr w:rsidR="00B71230">
        <w:tc>
          <w:tcPr>
            <w:tcW w:w="0" w:type="auto"/>
            <w:tcBorders>
              <w:top w:val="none" w:sz="0" w:space="0" w:color="FFFFFF"/>
              <w:left w:val="none" w:sz="0" w:space="0" w:color="FFFFFF"/>
              <w:bottom w:val="none" w:sz="0" w:space="0" w:color="FFFFFF"/>
              <w:right w:val="none" w:sz="0" w:space="0" w:color="FFFFFF"/>
            </w:tcBorders>
            <w:shd w:val="clear" w:color="auto" w:fill="F2F6FB"/>
            <w:tcMar>
              <w:top w:w="80" w:type="dxa"/>
              <w:left w:w="120" w:type="dxa"/>
              <w:bottom w:w="80" w:type="dxa"/>
              <w:right w:w="120" w:type="dxa"/>
            </w:tcMar>
            <w:vAlign w:val="center"/>
          </w:tcPr>
          <w:p w:rsidR="00B71230" w:rsidRDefault="00640E4A">
            <w:r>
              <w:rPr>
                <w:b/>
                <w:bCs/>
                <w:color w:val="000000"/>
                <w:sz w:val="19"/>
                <w:szCs w:val="19"/>
              </w:rPr>
              <w:t>With Purchase Intention</w:t>
            </w:r>
          </w:p>
        </w:tc>
        <w:tc>
          <w:tcPr>
            <w:tcW w:w="0" w:type="auto"/>
            <w:tcBorders>
              <w:top w:val="none" w:sz="0" w:space="0" w:color="FFFFFF"/>
              <w:left w:val="none" w:sz="0" w:space="0" w:color="FFFFFF"/>
              <w:bottom w:val="none" w:sz="0" w:space="0" w:color="FFFFFF"/>
              <w:right w:val="none" w:sz="0" w:space="0" w:color="FFFFFF"/>
            </w:tcBorders>
            <w:shd w:val="clear" w:color="auto" w:fill="F2F6FB"/>
            <w:tcMar>
              <w:top w:w="80" w:type="dxa"/>
              <w:left w:w="120" w:type="dxa"/>
              <w:bottom w:w="80" w:type="dxa"/>
              <w:right w:w="120" w:type="dxa"/>
            </w:tcMar>
            <w:vAlign w:val="center"/>
          </w:tcPr>
          <w:p w:rsidR="00B71230" w:rsidRDefault="00640E4A">
            <w:pPr>
              <w:jc w:val="center"/>
            </w:pPr>
            <w:r>
              <w:rPr>
                <w:b/>
                <w:bCs/>
                <w:color w:val="000000"/>
                <w:sz w:val="19"/>
                <w:szCs w:val="19"/>
              </w:rPr>
              <w:t>52</w:t>
            </w:r>
          </w:p>
        </w:tc>
      </w:tr>
      <w:tr w:rsidR="00B71230">
        <w:tc>
          <w:tcPr>
            <w:tcW w:w="0" w:type="auto"/>
            <w:tcBorders>
              <w:top w:val="none" w:sz="0" w:space="0" w:color="FFFFFF"/>
              <w:left w:val="none" w:sz="0" w:space="0" w:color="FFFFFF"/>
              <w:bottom w:val="none" w:sz="0" w:space="0" w:color="FFFFFF"/>
              <w:right w:val="none" w:sz="0" w:space="0" w:color="FFFFFF"/>
            </w:tcBorders>
            <w:tcMar>
              <w:top w:w="80" w:type="dxa"/>
              <w:left w:w="120" w:type="dxa"/>
              <w:bottom w:w="80" w:type="dxa"/>
              <w:right w:w="120" w:type="dxa"/>
            </w:tcMar>
            <w:vAlign w:val="center"/>
          </w:tcPr>
          <w:p w:rsidR="00B71230" w:rsidRDefault="00640E4A">
            <w:r>
              <w:rPr>
                <w:color w:val="000000"/>
                <w:sz w:val="19"/>
                <w:szCs w:val="19"/>
              </w:rPr>
              <w:t xml:space="preserve">    └ Actually Purchased</w:t>
            </w:r>
          </w:p>
        </w:tc>
        <w:tc>
          <w:tcPr>
            <w:tcW w:w="0" w:type="auto"/>
            <w:tcBorders>
              <w:top w:val="none" w:sz="0" w:space="0" w:color="FFFFFF"/>
              <w:left w:val="none" w:sz="0" w:space="0" w:color="FFFFFF"/>
              <w:bottom w:val="none" w:sz="0" w:space="0" w:color="FFFFFF"/>
              <w:right w:val="none" w:sz="0" w:space="0" w:color="FFFFFF"/>
            </w:tcBorders>
            <w:tcMar>
              <w:top w:w="80" w:type="dxa"/>
              <w:left w:w="120" w:type="dxa"/>
              <w:bottom w:w="80" w:type="dxa"/>
              <w:right w:w="120" w:type="dxa"/>
            </w:tcMar>
            <w:vAlign w:val="center"/>
          </w:tcPr>
          <w:p w:rsidR="00B71230" w:rsidRDefault="00640E4A">
            <w:pPr>
              <w:jc w:val="center"/>
            </w:pPr>
            <w:r>
              <w:rPr>
                <w:color w:val="000000"/>
                <w:sz w:val="19"/>
                <w:szCs w:val="19"/>
              </w:rPr>
              <w:t>13</w:t>
            </w:r>
          </w:p>
        </w:tc>
      </w:tr>
      <w:tr w:rsidR="00B71230">
        <w:tc>
          <w:tcPr>
            <w:tcW w:w="0" w:type="auto"/>
            <w:tcBorders>
              <w:top w:val="none" w:sz="0" w:space="0" w:color="FFFFFF"/>
              <w:left w:val="none" w:sz="0" w:space="0" w:color="FFFFFF"/>
              <w:bottom w:val="none" w:sz="0" w:space="0" w:color="FFFFFF"/>
              <w:right w:val="none" w:sz="0" w:space="0" w:color="FFFFFF"/>
            </w:tcBorders>
            <w:tcMar>
              <w:top w:w="80" w:type="dxa"/>
              <w:left w:w="120" w:type="dxa"/>
              <w:bottom w:w="80" w:type="dxa"/>
              <w:right w:w="120" w:type="dxa"/>
            </w:tcMar>
            <w:vAlign w:val="center"/>
          </w:tcPr>
          <w:p w:rsidR="00B71230" w:rsidRDefault="00640E4A">
            <w:r>
              <w:rPr>
                <w:color w:val="000000"/>
                <w:sz w:val="19"/>
                <w:szCs w:val="19"/>
              </w:rPr>
              <w:t xml:space="preserve">    └ Did Not Purchase</w:t>
            </w:r>
          </w:p>
        </w:tc>
        <w:tc>
          <w:tcPr>
            <w:tcW w:w="0" w:type="auto"/>
            <w:tcBorders>
              <w:top w:val="none" w:sz="0" w:space="0" w:color="FFFFFF"/>
              <w:left w:val="none" w:sz="0" w:space="0" w:color="FFFFFF"/>
              <w:bottom w:val="none" w:sz="0" w:space="0" w:color="FFFFFF"/>
              <w:right w:val="none" w:sz="0" w:space="0" w:color="FFFFFF"/>
            </w:tcBorders>
            <w:tcMar>
              <w:top w:w="80" w:type="dxa"/>
              <w:left w:w="120" w:type="dxa"/>
              <w:bottom w:w="80" w:type="dxa"/>
              <w:right w:w="120" w:type="dxa"/>
            </w:tcMar>
            <w:vAlign w:val="center"/>
          </w:tcPr>
          <w:p w:rsidR="00B71230" w:rsidRDefault="00640E4A">
            <w:pPr>
              <w:jc w:val="center"/>
            </w:pPr>
            <w:r>
              <w:rPr>
                <w:color w:val="000000"/>
                <w:sz w:val="19"/>
                <w:szCs w:val="19"/>
              </w:rPr>
              <w:t>39</w:t>
            </w:r>
          </w:p>
        </w:tc>
      </w:tr>
      <w:tr w:rsidR="00B71230">
        <w:tc>
          <w:tcPr>
            <w:tcW w:w="0" w:type="auto"/>
            <w:tcBorders>
              <w:top w:val="none" w:sz="0" w:space="0" w:color="FFFFFF"/>
              <w:left w:val="none" w:sz="0" w:space="0" w:color="FFFFFF"/>
              <w:bottom w:val="none" w:sz="0" w:space="0" w:color="FFFFFF"/>
              <w:right w:val="none" w:sz="0" w:space="0" w:color="FFFFFF"/>
            </w:tcBorders>
            <w:shd w:val="clear" w:color="auto" w:fill="F2F6FB"/>
            <w:tcMar>
              <w:top w:w="80" w:type="dxa"/>
              <w:left w:w="120" w:type="dxa"/>
              <w:bottom w:w="80" w:type="dxa"/>
              <w:right w:w="120" w:type="dxa"/>
            </w:tcMar>
            <w:vAlign w:val="center"/>
          </w:tcPr>
          <w:p w:rsidR="00B71230" w:rsidRDefault="00640E4A">
            <w:r>
              <w:rPr>
                <w:b/>
                <w:bCs/>
                <w:color w:val="000000"/>
                <w:sz w:val="19"/>
                <w:szCs w:val="19"/>
              </w:rPr>
              <w:t>Without Purchase Intention</w:t>
            </w:r>
          </w:p>
        </w:tc>
        <w:tc>
          <w:tcPr>
            <w:tcW w:w="0" w:type="auto"/>
            <w:tcBorders>
              <w:top w:val="none" w:sz="0" w:space="0" w:color="FFFFFF"/>
              <w:left w:val="none" w:sz="0" w:space="0" w:color="FFFFFF"/>
              <w:bottom w:val="none" w:sz="0" w:space="0" w:color="FFFFFF"/>
              <w:right w:val="none" w:sz="0" w:space="0" w:color="FFFFFF"/>
            </w:tcBorders>
            <w:shd w:val="clear" w:color="auto" w:fill="F2F6FB"/>
            <w:tcMar>
              <w:top w:w="80" w:type="dxa"/>
              <w:left w:w="120" w:type="dxa"/>
              <w:bottom w:w="80" w:type="dxa"/>
              <w:right w:w="120" w:type="dxa"/>
            </w:tcMar>
            <w:vAlign w:val="center"/>
          </w:tcPr>
          <w:p w:rsidR="00B71230" w:rsidRDefault="00640E4A">
            <w:pPr>
              <w:jc w:val="center"/>
            </w:pPr>
            <w:r>
              <w:rPr>
                <w:b/>
                <w:bCs/>
                <w:color w:val="000000"/>
                <w:sz w:val="19"/>
                <w:szCs w:val="19"/>
              </w:rPr>
              <w:t>48</w:t>
            </w:r>
          </w:p>
        </w:tc>
      </w:tr>
      <w:tr w:rsidR="00B71230">
        <w:tc>
          <w:tcPr>
            <w:tcW w:w="0" w:type="auto"/>
            <w:tcBorders>
              <w:top w:val="none" w:sz="0" w:space="0" w:color="FFFFFF"/>
              <w:left w:val="none" w:sz="0" w:space="0" w:color="FFFFFF"/>
              <w:bottom w:val="none" w:sz="0" w:space="0" w:color="FFFFFF"/>
              <w:right w:val="none" w:sz="0" w:space="0" w:color="FFFFFF"/>
            </w:tcBorders>
            <w:tcMar>
              <w:top w:w="80" w:type="dxa"/>
              <w:left w:w="120" w:type="dxa"/>
              <w:bottom w:w="80" w:type="dxa"/>
              <w:right w:w="120" w:type="dxa"/>
            </w:tcMar>
            <w:vAlign w:val="center"/>
          </w:tcPr>
          <w:p w:rsidR="00B71230" w:rsidRDefault="00640E4A">
            <w:r>
              <w:rPr>
                <w:color w:val="000000"/>
                <w:sz w:val="19"/>
                <w:szCs w:val="19"/>
              </w:rPr>
              <w:t xml:space="preserve">    └ Actually Purchased</w:t>
            </w:r>
          </w:p>
        </w:tc>
        <w:tc>
          <w:tcPr>
            <w:tcW w:w="0" w:type="auto"/>
            <w:tcBorders>
              <w:top w:val="none" w:sz="0" w:space="0" w:color="FFFFFF"/>
              <w:left w:val="none" w:sz="0" w:space="0" w:color="FFFFFF"/>
              <w:bottom w:val="none" w:sz="0" w:space="0" w:color="FFFFFF"/>
              <w:right w:val="none" w:sz="0" w:space="0" w:color="FFFFFF"/>
            </w:tcBorders>
            <w:tcMar>
              <w:top w:w="80" w:type="dxa"/>
              <w:left w:w="120" w:type="dxa"/>
              <w:bottom w:w="80" w:type="dxa"/>
              <w:right w:w="120" w:type="dxa"/>
            </w:tcMar>
            <w:vAlign w:val="center"/>
          </w:tcPr>
          <w:p w:rsidR="00B71230" w:rsidRDefault="00640E4A">
            <w:pPr>
              <w:jc w:val="center"/>
            </w:pPr>
            <w:r>
              <w:rPr>
                <w:color w:val="000000"/>
                <w:sz w:val="19"/>
                <w:szCs w:val="19"/>
              </w:rPr>
              <w:t>6</w:t>
            </w:r>
          </w:p>
        </w:tc>
      </w:tr>
      <w:tr w:rsidR="00B71230">
        <w:tc>
          <w:tcPr>
            <w:tcW w:w="0" w:type="auto"/>
            <w:tcBorders>
              <w:top w:val="none" w:sz="0" w:space="0" w:color="FFFFFF"/>
              <w:left w:val="none" w:sz="0" w:space="0" w:color="FFFFFF"/>
              <w:bottom w:val="none" w:sz="0" w:space="0" w:color="FFFFFF"/>
              <w:right w:val="none" w:sz="0" w:space="0" w:color="FFFFFF"/>
            </w:tcBorders>
            <w:tcMar>
              <w:top w:w="80" w:type="dxa"/>
              <w:left w:w="120" w:type="dxa"/>
              <w:bottom w:w="80" w:type="dxa"/>
              <w:right w:w="120" w:type="dxa"/>
            </w:tcMar>
            <w:vAlign w:val="center"/>
          </w:tcPr>
          <w:p w:rsidR="00B71230" w:rsidRDefault="00640E4A">
            <w:r>
              <w:rPr>
                <w:color w:val="000000"/>
                <w:sz w:val="19"/>
                <w:szCs w:val="19"/>
              </w:rPr>
              <w:t xml:space="preserve">    └ Did Not Purchase</w:t>
            </w:r>
          </w:p>
        </w:tc>
        <w:tc>
          <w:tcPr>
            <w:tcW w:w="0" w:type="auto"/>
            <w:tcBorders>
              <w:top w:val="none" w:sz="0" w:space="0" w:color="FFFFFF"/>
              <w:left w:val="none" w:sz="0" w:space="0" w:color="FFFFFF"/>
              <w:bottom w:val="none" w:sz="0" w:space="0" w:color="FFFFFF"/>
              <w:right w:val="none" w:sz="0" w:space="0" w:color="FFFFFF"/>
            </w:tcBorders>
            <w:tcMar>
              <w:top w:w="80" w:type="dxa"/>
              <w:left w:w="120" w:type="dxa"/>
              <w:bottom w:w="80" w:type="dxa"/>
              <w:right w:w="120" w:type="dxa"/>
            </w:tcMar>
            <w:vAlign w:val="center"/>
          </w:tcPr>
          <w:p w:rsidR="00B71230" w:rsidRDefault="00640E4A">
            <w:pPr>
              <w:jc w:val="center"/>
            </w:pPr>
            <w:r>
              <w:rPr>
                <w:color w:val="000000"/>
                <w:sz w:val="19"/>
                <w:szCs w:val="19"/>
              </w:rPr>
              <w:t>42</w:t>
            </w:r>
          </w:p>
        </w:tc>
      </w:tr>
      <w:tr w:rsidR="00B71230">
        <w:tc>
          <w:tcPr>
            <w:tcW w:w="0" w:type="auto"/>
            <w:tcBorders>
              <w:top w:val="none" w:sz="0" w:space="0" w:color="FFFFFF"/>
              <w:left w:val="none" w:sz="0" w:space="0" w:color="FFFFFF"/>
              <w:bottom w:val="single" w:sz="8" w:space="0" w:color="000000"/>
              <w:right w:val="none" w:sz="0" w:space="0" w:color="FFFFFF"/>
            </w:tcBorders>
            <w:shd w:val="clear" w:color="auto" w:fill="F2F6FB"/>
            <w:tcMar>
              <w:top w:w="80" w:type="dxa"/>
              <w:left w:w="120" w:type="dxa"/>
              <w:bottom w:w="80" w:type="dxa"/>
              <w:right w:w="120" w:type="dxa"/>
            </w:tcMar>
            <w:vAlign w:val="center"/>
          </w:tcPr>
          <w:p w:rsidR="00B71230" w:rsidRDefault="00640E4A">
            <w:r>
              <w:rPr>
                <w:b/>
                <w:bCs/>
                <w:color w:val="000000"/>
                <w:sz w:val="19"/>
                <w:szCs w:val="19"/>
              </w:rPr>
              <w:t>Total Actual Buyers</w:t>
            </w:r>
          </w:p>
        </w:tc>
        <w:tc>
          <w:tcPr>
            <w:tcW w:w="0" w:type="auto"/>
            <w:tcBorders>
              <w:top w:val="none" w:sz="0" w:space="0" w:color="FFFFFF"/>
              <w:left w:val="none" w:sz="0" w:space="0" w:color="FFFFFF"/>
              <w:bottom w:val="single" w:sz="8" w:space="0" w:color="000000"/>
              <w:right w:val="none" w:sz="0" w:space="0" w:color="FFFFFF"/>
            </w:tcBorders>
            <w:shd w:val="clear" w:color="auto" w:fill="F2F6FB"/>
            <w:tcMar>
              <w:top w:w="80" w:type="dxa"/>
              <w:left w:w="120" w:type="dxa"/>
              <w:bottom w:w="80" w:type="dxa"/>
              <w:right w:w="120" w:type="dxa"/>
            </w:tcMar>
            <w:vAlign w:val="center"/>
          </w:tcPr>
          <w:p w:rsidR="00B71230" w:rsidRDefault="00640E4A">
            <w:pPr>
              <w:jc w:val="center"/>
            </w:pPr>
            <w:r>
              <w:rPr>
                <w:b/>
                <w:bCs/>
                <w:color w:val="000000"/>
                <w:sz w:val="19"/>
                <w:szCs w:val="19"/>
              </w:rPr>
              <w:t>19</w:t>
            </w:r>
          </w:p>
        </w:tc>
      </w:tr>
    </w:tbl>
    <w:p w:rsidR="00B71230" w:rsidRDefault="00640E4A">
      <w:pPr>
        <w:pBdr>
          <w:bottom w:val="single" w:sz="4" w:space="4" w:color="1F4E79"/>
        </w:pBdr>
        <w:spacing w:before="300" w:after="160"/>
      </w:pPr>
      <w:r>
        <w:rPr>
          <w:rFonts w:ascii="Calibri" w:eastAsia="Calibri" w:hAnsi="Calibri" w:cs="Calibri"/>
          <w:b/>
          <w:bCs/>
          <w:color w:val="1F4E79"/>
          <w:sz w:val="26"/>
          <w:szCs w:val="26"/>
        </w:rPr>
        <w:t>A Meaningful Signal, Despite the Gap</w:t>
      </w:r>
    </w:p>
    <w:p w:rsidR="00B71230" w:rsidRDefault="00640E4A">
      <w:pPr>
        <w:spacing w:after="160"/>
      </w:pPr>
      <w:proofErr w:type="spellStart"/>
      <w:r>
        <w:rPr>
          <w:rFonts w:ascii="Calibri" w:eastAsia="Calibri" w:hAnsi="Calibri" w:cs="Calibri"/>
          <w:color w:val="000000"/>
          <w:sz w:val="21"/>
          <w:szCs w:val="21"/>
        </w:rPr>
        <w:t>ConsumerInsight</w:t>
      </w:r>
      <w:proofErr w:type="spellEnd"/>
      <w:r>
        <w:rPr>
          <w:rFonts w:ascii="Calibri" w:eastAsia="Calibri" w:hAnsi="Calibri" w:cs="Calibri"/>
          <w:color w:val="000000"/>
          <w:sz w:val="21"/>
          <w:szCs w:val="21"/>
        </w:rPr>
        <w:t xml:space="preserve"> said the results point to a meaningful distance between stated plans and actual behavior: only </w:t>
      </w:r>
      <w:r w:rsidR="00790077" w:rsidRPr="00790077">
        <w:rPr>
          <w:rFonts w:ascii="Calibri" w:eastAsia="Calibri" w:hAnsi="Calibri" w:cs="Calibri"/>
          <w:color w:val="000000"/>
          <w:sz w:val="21"/>
          <w:szCs w:val="21"/>
        </w:rPr>
        <w:t>25% of intenders</w:t>
      </w:r>
      <w:r>
        <w:rPr>
          <w:rFonts w:ascii="Calibri" w:eastAsia="Calibri" w:hAnsi="Calibri" w:cs="Calibri"/>
          <w:color w:val="000000"/>
          <w:sz w:val="21"/>
          <w:szCs w:val="21"/>
        </w:rPr>
        <w:t xml:space="preserve"> followed through, and 13% of non-intenders bought anyway. At the same time, the purchase rate among intenders was nearly double that of non-intenders, confirming that purchase intention remains a valuable — if imperfect — demand signal for automakers and marketers.</w:t>
      </w:r>
    </w:p>
    <w:p w:rsidR="00B71230" w:rsidRDefault="00640E4A">
      <w:pPr>
        <w:pBdr>
          <w:bottom w:val="single" w:sz="4" w:space="4" w:color="1F4E79"/>
        </w:pBdr>
        <w:spacing w:before="300" w:after="160"/>
      </w:pPr>
      <w:r>
        <w:rPr>
          <w:rFonts w:ascii="Calibri" w:eastAsia="Calibri" w:hAnsi="Calibri" w:cs="Calibri"/>
          <w:b/>
          <w:bCs/>
          <w:color w:val="1F4E79"/>
          <w:sz w:val="26"/>
          <w:szCs w:val="26"/>
        </w:rPr>
        <w:t>The Gap Extends to Brand and Model Choice</w:t>
      </w:r>
    </w:p>
    <w:p w:rsidR="00B71230" w:rsidRDefault="00640E4A">
      <w:pPr>
        <w:spacing w:after="160"/>
      </w:pPr>
      <w:r>
        <w:rPr>
          <w:rFonts w:ascii="Calibri" w:eastAsia="Calibri" w:hAnsi="Calibri" w:cs="Calibri"/>
          <w:color w:val="000000"/>
          <w:sz w:val="21"/>
          <w:szCs w:val="21"/>
        </w:rPr>
        <w:t xml:space="preserve">The Say-Do Gap was not limited to whether consumers bought a vehicle — it also appeared in what they bought. Among all actual buyers, 31% purchased the brand they had originally preferred, and 14% purchased their exact preferred model [Table 2]. On the base of purchase intenders alone, the equivalent rates were 44% and 21% — meaning only about one in five intenders ended up with both their preferred brand and preferred model. </w:t>
      </w:r>
      <w:proofErr w:type="spellStart"/>
      <w:r>
        <w:rPr>
          <w:rFonts w:ascii="Calibri" w:eastAsia="Calibri" w:hAnsi="Calibri" w:cs="Calibri"/>
          <w:color w:val="000000"/>
          <w:sz w:val="21"/>
          <w:szCs w:val="21"/>
        </w:rPr>
        <w:t>ConsumerInsight</w:t>
      </w:r>
      <w:proofErr w:type="spellEnd"/>
      <w:r>
        <w:rPr>
          <w:rFonts w:ascii="Calibri" w:eastAsia="Calibri" w:hAnsi="Calibri" w:cs="Calibri"/>
          <w:color w:val="000000"/>
          <w:sz w:val="21"/>
          <w:szCs w:val="21"/>
        </w:rPr>
        <w:t xml:space="preserve"> noted that real-world constraints such as available budget, new model launches, delivery timing, promotions, and taxes can significantly reshape a consumer’s final choice.</w:t>
      </w:r>
    </w:p>
    <w:p w:rsidR="00B71230" w:rsidRDefault="00640E4A">
      <w:pPr>
        <w:spacing w:before="220" w:after="80"/>
      </w:pPr>
      <w:r>
        <w:rPr>
          <w:b/>
          <w:bCs/>
          <w:sz w:val="21"/>
          <w:szCs w:val="21"/>
        </w:rPr>
        <w:t xml:space="preserve">[Table 2] Profile Analysis of Actual Car </w:t>
      </w:r>
      <w:proofErr w:type="gramStart"/>
      <w:r>
        <w:rPr>
          <w:b/>
          <w:bCs/>
          <w:sz w:val="21"/>
          <w:szCs w:val="21"/>
        </w:rPr>
        <w:t>Buyers</w:t>
      </w:r>
      <w:r>
        <w:rPr>
          <w:i/>
          <w:iCs/>
          <w:color w:val="595959"/>
          <w:sz w:val="18"/>
          <w:szCs w:val="18"/>
        </w:rPr>
        <w:t xml:space="preserve">  Based</w:t>
      </w:r>
      <w:proofErr w:type="gramEnd"/>
      <w:r>
        <w:rPr>
          <w:i/>
          <w:iCs/>
          <w:color w:val="595959"/>
          <w:sz w:val="18"/>
          <w:szCs w:val="18"/>
        </w:rPr>
        <w:t xml:space="preserve"> on actual car buyers (N = 5,495)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032"/>
        <w:gridCol w:w="2218"/>
        <w:gridCol w:w="3830"/>
      </w:tblGrid>
      <w:tr w:rsidR="00B71230">
        <w:trPr>
          <w:tblHeader/>
        </w:trPr>
        <w:tc>
          <w:tcPr>
            <w:tcW w:w="2000" w:type="pct"/>
            <w:tcBorders>
              <w:top w:val="single" w:sz="8" w:space="0" w:color="000000"/>
              <w:left w:val="none" w:sz="0" w:space="0" w:color="FFFFFF"/>
              <w:bottom w:val="single" w:sz="8" w:space="0" w:color="000000"/>
              <w:right w:val="none" w:sz="0" w:space="0" w:color="FFFFFF"/>
            </w:tcBorders>
            <w:shd w:val="clear" w:color="auto" w:fill="D9E2F0"/>
            <w:tcMar>
              <w:top w:w="80" w:type="dxa"/>
              <w:left w:w="120" w:type="dxa"/>
              <w:bottom w:w="80" w:type="dxa"/>
              <w:right w:w="120" w:type="dxa"/>
            </w:tcMar>
            <w:vAlign w:val="center"/>
          </w:tcPr>
          <w:p w:rsidR="00B71230" w:rsidRDefault="00640E4A">
            <w:r>
              <w:rPr>
                <w:b/>
                <w:bCs/>
                <w:color w:val="000000"/>
                <w:sz w:val="19"/>
                <w:szCs w:val="19"/>
              </w:rPr>
              <w:t>Buyer Segment</w:t>
            </w:r>
          </w:p>
        </w:tc>
        <w:tc>
          <w:tcPr>
            <w:tcW w:w="1100" w:type="pct"/>
            <w:tcBorders>
              <w:top w:val="single" w:sz="8" w:space="0" w:color="000000"/>
              <w:left w:val="none" w:sz="0" w:space="0" w:color="FFFFFF"/>
              <w:bottom w:val="single" w:sz="8" w:space="0" w:color="000000"/>
              <w:right w:val="none" w:sz="0" w:space="0" w:color="FFFFFF"/>
            </w:tcBorders>
            <w:shd w:val="clear" w:color="auto" w:fill="D9E2F0"/>
            <w:tcMar>
              <w:top w:w="80" w:type="dxa"/>
              <w:left w:w="120" w:type="dxa"/>
              <w:bottom w:w="80" w:type="dxa"/>
              <w:right w:w="120" w:type="dxa"/>
            </w:tcMar>
            <w:vAlign w:val="center"/>
          </w:tcPr>
          <w:p w:rsidR="00B71230" w:rsidRDefault="00640E4A">
            <w:pPr>
              <w:jc w:val="center"/>
            </w:pPr>
            <w:r>
              <w:rPr>
                <w:b/>
                <w:bCs/>
                <w:color w:val="000000"/>
                <w:sz w:val="19"/>
                <w:szCs w:val="19"/>
              </w:rPr>
              <w:t>% of Total Buyers</w:t>
            </w:r>
          </w:p>
        </w:tc>
        <w:tc>
          <w:tcPr>
            <w:tcW w:w="1900" w:type="pct"/>
            <w:tcBorders>
              <w:top w:val="single" w:sz="8" w:space="0" w:color="000000"/>
              <w:left w:val="none" w:sz="0" w:space="0" w:color="FFFFFF"/>
              <w:bottom w:val="single" w:sz="8" w:space="0" w:color="000000"/>
              <w:right w:val="none" w:sz="0" w:space="0" w:color="FFFFFF"/>
            </w:tcBorders>
            <w:shd w:val="clear" w:color="auto" w:fill="D9E2F0"/>
            <w:tcMar>
              <w:top w:w="80" w:type="dxa"/>
              <w:left w:w="120" w:type="dxa"/>
              <w:bottom w:w="80" w:type="dxa"/>
              <w:right w:w="120" w:type="dxa"/>
            </w:tcMar>
            <w:vAlign w:val="center"/>
          </w:tcPr>
          <w:p w:rsidR="00B71230" w:rsidRDefault="00640E4A">
            <w:r>
              <w:rPr>
                <w:b/>
                <w:bCs/>
                <w:color w:val="000000"/>
                <w:sz w:val="19"/>
                <w:szCs w:val="19"/>
              </w:rPr>
              <w:t>Notes</w:t>
            </w:r>
          </w:p>
        </w:tc>
      </w:tr>
      <w:tr w:rsidR="00B71230">
        <w:tc>
          <w:tcPr>
            <w:tcW w:w="0" w:type="auto"/>
            <w:tcBorders>
              <w:top w:val="none" w:sz="0" w:space="0" w:color="FFFFFF"/>
              <w:left w:val="none" w:sz="0" w:space="0" w:color="FFFFFF"/>
              <w:bottom w:val="none" w:sz="0" w:space="0" w:color="FFFFFF"/>
              <w:right w:val="none" w:sz="0" w:space="0" w:color="FFFFFF"/>
            </w:tcBorders>
            <w:shd w:val="clear" w:color="auto" w:fill="F2F6FB"/>
            <w:tcMar>
              <w:top w:w="80" w:type="dxa"/>
              <w:left w:w="120" w:type="dxa"/>
              <w:bottom w:w="80" w:type="dxa"/>
              <w:right w:w="120" w:type="dxa"/>
            </w:tcMar>
            <w:vAlign w:val="center"/>
          </w:tcPr>
          <w:p w:rsidR="00B71230" w:rsidRDefault="00640E4A">
            <w:r>
              <w:rPr>
                <w:b/>
                <w:bCs/>
                <w:color w:val="000000"/>
                <w:sz w:val="19"/>
                <w:szCs w:val="19"/>
              </w:rPr>
              <w:t>Planned Buyers</w:t>
            </w:r>
          </w:p>
        </w:tc>
        <w:tc>
          <w:tcPr>
            <w:tcW w:w="0" w:type="auto"/>
            <w:tcBorders>
              <w:top w:val="none" w:sz="0" w:space="0" w:color="FFFFFF"/>
              <w:left w:val="none" w:sz="0" w:space="0" w:color="FFFFFF"/>
              <w:bottom w:val="none" w:sz="0" w:space="0" w:color="FFFFFF"/>
              <w:right w:val="none" w:sz="0" w:space="0" w:color="FFFFFF"/>
            </w:tcBorders>
            <w:shd w:val="clear" w:color="auto" w:fill="F2F6FB"/>
            <w:tcMar>
              <w:top w:w="80" w:type="dxa"/>
              <w:left w:w="120" w:type="dxa"/>
              <w:bottom w:w="80" w:type="dxa"/>
              <w:right w:w="120" w:type="dxa"/>
            </w:tcMar>
            <w:vAlign w:val="center"/>
          </w:tcPr>
          <w:p w:rsidR="00B71230" w:rsidRDefault="00640E4A">
            <w:pPr>
              <w:jc w:val="center"/>
            </w:pPr>
            <w:r>
              <w:rPr>
                <w:b/>
                <w:bCs/>
                <w:color w:val="000000"/>
                <w:sz w:val="19"/>
                <w:szCs w:val="19"/>
              </w:rPr>
              <w:t>70</w:t>
            </w:r>
          </w:p>
        </w:tc>
        <w:tc>
          <w:tcPr>
            <w:tcW w:w="0" w:type="auto"/>
            <w:tcBorders>
              <w:top w:val="none" w:sz="0" w:space="0" w:color="FFFFFF"/>
              <w:left w:val="none" w:sz="0" w:space="0" w:color="FFFFFF"/>
              <w:bottom w:val="none" w:sz="0" w:space="0" w:color="FFFFFF"/>
              <w:right w:val="none" w:sz="0" w:space="0" w:color="FFFFFF"/>
            </w:tcBorders>
            <w:shd w:val="clear" w:color="auto" w:fill="F2F6FB"/>
            <w:tcMar>
              <w:top w:w="80" w:type="dxa"/>
              <w:left w:w="120" w:type="dxa"/>
              <w:bottom w:w="80" w:type="dxa"/>
              <w:right w:w="120" w:type="dxa"/>
            </w:tcMar>
            <w:vAlign w:val="center"/>
          </w:tcPr>
          <w:p w:rsidR="00B71230" w:rsidRDefault="00640E4A">
            <w:r>
              <w:rPr>
                <w:i/>
                <w:iCs/>
                <w:color w:val="000000"/>
                <w:sz w:val="17"/>
                <w:szCs w:val="17"/>
              </w:rPr>
              <w:t>Had purchase intention prior to buying</w:t>
            </w:r>
          </w:p>
        </w:tc>
      </w:tr>
      <w:tr w:rsidR="00B71230">
        <w:tc>
          <w:tcPr>
            <w:tcW w:w="0" w:type="auto"/>
            <w:tcBorders>
              <w:top w:val="none" w:sz="0" w:space="0" w:color="FFFFFF"/>
              <w:left w:val="none" w:sz="0" w:space="0" w:color="FFFFFF"/>
              <w:bottom w:val="none" w:sz="0" w:space="0" w:color="FFFFFF"/>
              <w:right w:val="none" w:sz="0" w:space="0" w:color="FFFFFF"/>
            </w:tcBorders>
            <w:tcMar>
              <w:top w:w="80" w:type="dxa"/>
              <w:left w:w="120" w:type="dxa"/>
              <w:bottom w:w="80" w:type="dxa"/>
              <w:right w:w="120" w:type="dxa"/>
            </w:tcMar>
            <w:vAlign w:val="center"/>
          </w:tcPr>
          <w:p w:rsidR="00B71230" w:rsidRDefault="00640E4A">
            <w:r>
              <w:rPr>
                <w:color w:val="000000"/>
                <w:sz w:val="19"/>
                <w:szCs w:val="19"/>
              </w:rPr>
              <w:t xml:space="preserve">    └ Purchased Preferred Brand</w:t>
            </w:r>
          </w:p>
        </w:tc>
        <w:tc>
          <w:tcPr>
            <w:tcW w:w="0" w:type="auto"/>
            <w:tcBorders>
              <w:top w:val="none" w:sz="0" w:space="0" w:color="FFFFFF"/>
              <w:left w:val="none" w:sz="0" w:space="0" w:color="FFFFFF"/>
              <w:bottom w:val="none" w:sz="0" w:space="0" w:color="FFFFFF"/>
              <w:right w:val="none" w:sz="0" w:space="0" w:color="FFFFFF"/>
            </w:tcBorders>
            <w:tcMar>
              <w:top w:w="80" w:type="dxa"/>
              <w:left w:w="120" w:type="dxa"/>
              <w:bottom w:w="80" w:type="dxa"/>
              <w:right w:w="120" w:type="dxa"/>
            </w:tcMar>
            <w:vAlign w:val="center"/>
          </w:tcPr>
          <w:p w:rsidR="00B71230" w:rsidRDefault="00640E4A">
            <w:pPr>
              <w:jc w:val="center"/>
            </w:pPr>
            <w:r>
              <w:rPr>
                <w:color w:val="000000"/>
                <w:sz w:val="19"/>
                <w:szCs w:val="19"/>
              </w:rPr>
              <w:t>31</w:t>
            </w:r>
          </w:p>
        </w:tc>
        <w:tc>
          <w:tcPr>
            <w:tcW w:w="0" w:type="auto"/>
            <w:tcBorders>
              <w:top w:val="none" w:sz="0" w:space="0" w:color="FFFFFF"/>
              <w:left w:val="none" w:sz="0" w:space="0" w:color="FFFFFF"/>
              <w:bottom w:val="none" w:sz="0" w:space="0" w:color="FFFFFF"/>
              <w:right w:val="none" w:sz="0" w:space="0" w:color="FFFFFF"/>
            </w:tcBorders>
            <w:tcMar>
              <w:top w:w="80" w:type="dxa"/>
              <w:left w:w="120" w:type="dxa"/>
              <w:bottom w:w="80" w:type="dxa"/>
              <w:right w:w="120" w:type="dxa"/>
            </w:tcMar>
            <w:vAlign w:val="center"/>
          </w:tcPr>
          <w:p w:rsidR="00B71230" w:rsidRDefault="00640E4A">
            <w:r>
              <w:rPr>
                <w:i/>
                <w:iCs/>
                <w:color w:val="000000"/>
                <w:sz w:val="17"/>
                <w:szCs w:val="17"/>
              </w:rPr>
              <w:t>Of the 31 points, 14 also involved the exact preferred model</w:t>
            </w:r>
          </w:p>
        </w:tc>
      </w:tr>
      <w:tr w:rsidR="00B71230">
        <w:tc>
          <w:tcPr>
            <w:tcW w:w="0" w:type="auto"/>
            <w:tcBorders>
              <w:top w:val="none" w:sz="0" w:space="0" w:color="FFFFFF"/>
              <w:left w:val="none" w:sz="0" w:space="0" w:color="FFFFFF"/>
              <w:bottom w:val="none" w:sz="0" w:space="0" w:color="FFFFFF"/>
              <w:right w:val="none" w:sz="0" w:space="0" w:color="FFFFFF"/>
            </w:tcBorders>
            <w:tcMar>
              <w:top w:w="80" w:type="dxa"/>
              <w:left w:w="120" w:type="dxa"/>
              <w:bottom w:w="80" w:type="dxa"/>
              <w:right w:w="120" w:type="dxa"/>
            </w:tcMar>
            <w:vAlign w:val="center"/>
          </w:tcPr>
          <w:p w:rsidR="00B71230" w:rsidRDefault="00640E4A">
            <w:r>
              <w:rPr>
                <w:color w:val="000000"/>
                <w:sz w:val="19"/>
                <w:szCs w:val="19"/>
              </w:rPr>
              <w:t xml:space="preserve">    └ Purchased Alternative Brand</w:t>
            </w:r>
          </w:p>
        </w:tc>
        <w:tc>
          <w:tcPr>
            <w:tcW w:w="0" w:type="auto"/>
            <w:tcBorders>
              <w:top w:val="none" w:sz="0" w:space="0" w:color="FFFFFF"/>
              <w:left w:val="none" w:sz="0" w:space="0" w:color="FFFFFF"/>
              <w:bottom w:val="none" w:sz="0" w:space="0" w:color="FFFFFF"/>
              <w:right w:val="none" w:sz="0" w:space="0" w:color="FFFFFF"/>
            </w:tcBorders>
            <w:tcMar>
              <w:top w:w="80" w:type="dxa"/>
              <w:left w:w="120" w:type="dxa"/>
              <w:bottom w:w="80" w:type="dxa"/>
              <w:right w:w="120" w:type="dxa"/>
            </w:tcMar>
            <w:vAlign w:val="center"/>
          </w:tcPr>
          <w:p w:rsidR="00B71230" w:rsidRDefault="00640E4A">
            <w:pPr>
              <w:jc w:val="center"/>
            </w:pPr>
            <w:r>
              <w:rPr>
                <w:color w:val="000000"/>
                <w:sz w:val="19"/>
                <w:szCs w:val="19"/>
              </w:rPr>
              <w:t>39</w:t>
            </w:r>
          </w:p>
        </w:tc>
        <w:tc>
          <w:tcPr>
            <w:tcW w:w="0" w:type="auto"/>
            <w:tcBorders>
              <w:top w:val="none" w:sz="0" w:space="0" w:color="FFFFFF"/>
              <w:left w:val="none" w:sz="0" w:space="0" w:color="FFFFFF"/>
              <w:bottom w:val="none" w:sz="0" w:space="0" w:color="FFFFFF"/>
              <w:right w:val="none" w:sz="0" w:space="0" w:color="FFFFFF"/>
            </w:tcBorders>
            <w:tcMar>
              <w:top w:w="80" w:type="dxa"/>
              <w:left w:w="120" w:type="dxa"/>
              <w:bottom w:w="80" w:type="dxa"/>
              <w:right w:w="120" w:type="dxa"/>
            </w:tcMar>
            <w:vAlign w:val="center"/>
          </w:tcPr>
          <w:p w:rsidR="00B71230" w:rsidRDefault="00B71230"/>
        </w:tc>
      </w:tr>
      <w:tr w:rsidR="00B71230">
        <w:tc>
          <w:tcPr>
            <w:tcW w:w="0" w:type="auto"/>
            <w:tcBorders>
              <w:top w:val="none" w:sz="0" w:space="0" w:color="FFFFFF"/>
              <w:left w:val="none" w:sz="0" w:space="0" w:color="FFFFFF"/>
              <w:bottom w:val="single" w:sz="8" w:space="0" w:color="000000"/>
              <w:right w:val="none" w:sz="0" w:space="0" w:color="FFFFFF"/>
            </w:tcBorders>
            <w:shd w:val="clear" w:color="auto" w:fill="F2F6FB"/>
            <w:tcMar>
              <w:top w:w="80" w:type="dxa"/>
              <w:left w:w="120" w:type="dxa"/>
              <w:bottom w:w="80" w:type="dxa"/>
              <w:right w:w="120" w:type="dxa"/>
            </w:tcMar>
            <w:vAlign w:val="center"/>
          </w:tcPr>
          <w:p w:rsidR="00B71230" w:rsidRDefault="00640E4A">
            <w:r>
              <w:rPr>
                <w:b/>
                <w:bCs/>
                <w:color w:val="000000"/>
                <w:sz w:val="19"/>
                <w:szCs w:val="19"/>
              </w:rPr>
              <w:t>Unplanned Buyers</w:t>
            </w:r>
          </w:p>
        </w:tc>
        <w:tc>
          <w:tcPr>
            <w:tcW w:w="0" w:type="auto"/>
            <w:tcBorders>
              <w:top w:val="none" w:sz="0" w:space="0" w:color="FFFFFF"/>
              <w:left w:val="none" w:sz="0" w:space="0" w:color="FFFFFF"/>
              <w:bottom w:val="single" w:sz="8" w:space="0" w:color="000000"/>
              <w:right w:val="none" w:sz="0" w:space="0" w:color="FFFFFF"/>
            </w:tcBorders>
            <w:shd w:val="clear" w:color="auto" w:fill="F2F6FB"/>
            <w:tcMar>
              <w:top w:w="80" w:type="dxa"/>
              <w:left w:w="120" w:type="dxa"/>
              <w:bottom w:w="80" w:type="dxa"/>
              <w:right w:w="120" w:type="dxa"/>
            </w:tcMar>
            <w:vAlign w:val="center"/>
          </w:tcPr>
          <w:p w:rsidR="00B71230" w:rsidRDefault="00640E4A">
            <w:pPr>
              <w:jc w:val="center"/>
            </w:pPr>
            <w:r>
              <w:rPr>
                <w:b/>
                <w:bCs/>
                <w:color w:val="000000"/>
                <w:sz w:val="19"/>
                <w:szCs w:val="19"/>
              </w:rPr>
              <w:t>30</w:t>
            </w:r>
          </w:p>
        </w:tc>
        <w:tc>
          <w:tcPr>
            <w:tcW w:w="0" w:type="auto"/>
            <w:tcBorders>
              <w:top w:val="none" w:sz="0" w:space="0" w:color="FFFFFF"/>
              <w:left w:val="none" w:sz="0" w:space="0" w:color="FFFFFF"/>
              <w:bottom w:val="single" w:sz="8" w:space="0" w:color="000000"/>
              <w:right w:val="none" w:sz="0" w:space="0" w:color="FFFFFF"/>
            </w:tcBorders>
            <w:shd w:val="clear" w:color="auto" w:fill="F2F6FB"/>
            <w:tcMar>
              <w:top w:w="80" w:type="dxa"/>
              <w:left w:w="120" w:type="dxa"/>
              <w:bottom w:w="80" w:type="dxa"/>
              <w:right w:w="120" w:type="dxa"/>
            </w:tcMar>
            <w:vAlign w:val="center"/>
          </w:tcPr>
          <w:p w:rsidR="00B71230" w:rsidRDefault="00640E4A">
            <w:r>
              <w:rPr>
                <w:i/>
                <w:iCs/>
                <w:color w:val="000000"/>
                <w:sz w:val="17"/>
                <w:szCs w:val="17"/>
              </w:rPr>
              <w:t>Had no purchase intention</w:t>
            </w:r>
          </w:p>
        </w:tc>
      </w:tr>
    </w:tbl>
    <w:p w:rsidR="00B71230" w:rsidRDefault="00640E4A">
      <w:pPr>
        <w:pBdr>
          <w:bottom w:val="single" w:sz="4" w:space="4" w:color="1F4E79"/>
        </w:pBdr>
        <w:spacing w:before="300" w:after="160"/>
      </w:pPr>
      <w:r>
        <w:rPr>
          <w:rFonts w:ascii="Calibri" w:eastAsia="Calibri" w:hAnsi="Calibri" w:cs="Calibri"/>
          <w:b/>
          <w:bCs/>
          <w:color w:val="1F4E79"/>
          <w:sz w:val="26"/>
          <w:szCs w:val="26"/>
        </w:rPr>
        <w:t>From Theory to Data: Measuring the Say-Do Gap at Unprecedented Scale</w:t>
      </w:r>
    </w:p>
    <w:p w:rsidR="00B71230" w:rsidRDefault="00640E4A">
      <w:pPr>
        <w:spacing w:after="160"/>
      </w:pPr>
      <w:r>
        <w:rPr>
          <w:rFonts w:ascii="Calibri" w:eastAsia="Calibri" w:hAnsi="Calibri" w:cs="Calibri"/>
          <w:color w:val="000000"/>
          <w:sz w:val="21"/>
          <w:szCs w:val="21"/>
        </w:rPr>
        <w:t xml:space="preserve">The Say-Do Gap has long been discussed in academic and industry circles, largely on a theoretical basis or through small-scale, cross-sectional studies. </w:t>
      </w:r>
      <w:proofErr w:type="spellStart"/>
      <w:r>
        <w:rPr>
          <w:rFonts w:ascii="Calibri" w:eastAsia="Calibri" w:hAnsi="Calibri" w:cs="Calibri"/>
          <w:color w:val="000000"/>
          <w:sz w:val="21"/>
          <w:szCs w:val="21"/>
        </w:rPr>
        <w:t>ConsumerInsight’s</w:t>
      </w:r>
      <w:proofErr w:type="spellEnd"/>
      <w:r>
        <w:rPr>
          <w:rFonts w:ascii="Calibri" w:eastAsia="Calibri" w:hAnsi="Calibri" w:cs="Calibri"/>
          <w:color w:val="000000"/>
          <w:sz w:val="21"/>
          <w:szCs w:val="21"/>
        </w:rPr>
        <w:t xml:space="preserve"> analysis is significant for quantifying the phenomenon using individually matched, longitudinal data from roughly 29,182 consumers tracked over two years — a scale with few, if any, precedents worldwide.</w:t>
      </w:r>
    </w:p>
    <w:p w:rsidR="00B71230" w:rsidRDefault="00640E4A">
      <w:pPr>
        <w:spacing w:after="160"/>
      </w:pPr>
      <w:r>
        <w:rPr>
          <w:rFonts w:ascii="Calibri" w:eastAsia="Calibri" w:hAnsi="Calibri" w:cs="Calibri"/>
          <w:color w:val="000000"/>
          <w:sz w:val="21"/>
          <w:szCs w:val="21"/>
        </w:rPr>
        <w:lastRenderedPageBreak/>
        <w:t xml:space="preserve">Building on this release, </w:t>
      </w:r>
      <w:proofErr w:type="spellStart"/>
      <w:r>
        <w:rPr>
          <w:rFonts w:ascii="Calibri" w:eastAsia="Calibri" w:hAnsi="Calibri" w:cs="Calibri"/>
          <w:color w:val="000000"/>
          <w:sz w:val="21"/>
          <w:szCs w:val="21"/>
        </w:rPr>
        <w:t>ConsumerInsight</w:t>
      </w:r>
      <w:proofErr w:type="spellEnd"/>
      <w:r>
        <w:rPr>
          <w:rFonts w:ascii="Calibri" w:eastAsia="Calibri" w:hAnsi="Calibri" w:cs="Calibri"/>
          <w:color w:val="000000"/>
          <w:sz w:val="21"/>
          <w:szCs w:val="21"/>
        </w:rPr>
        <w:t xml:space="preserve"> plans to continue publishing multi-angle analyses of the Say-Do Gap — examining which consumer segments show the widest gaps, which vehicle categories are most affected, and how economic conditions or new model launches shape the shift from intention to purchase. The goal is to help automakers and marketers design and execute more precise, evidence-based strategies.</w:t>
      </w:r>
    </w:p>
    <w:p w:rsidR="00B71230" w:rsidRDefault="00640E4A">
      <w:pPr>
        <w:pBdr>
          <w:bottom w:val="single" w:sz="4" w:space="4" w:color="1F4E79"/>
        </w:pBdr>
        <w:spacing w:before="300" w:after="160"/>
      </w:pPr>
      <w:r>
        <w:rPr>
          <w:rFonts w:ascii="Calibri" w:eastAsia="Calibri" w:hAnsi="Calibri" w:cs="Calibri"/>
          <w:b/>
          <w:bCs/>
          <w:color w:val="1F4E79"/>
          <w:sz w:val="26"/>
          <w:szCs w:val="26"/>
        </w:rPr>
        <w:t>Notes</w:t>
      </w:r>
    </w:p>
    <w:p w:rsidR="00B71230" w:rsidRDefault="00640E4A">
      <w:pPr>
        <w:spacing w:after="120"/>
      </w:pPr>
      <w:r>
        <w:rPr>
          <w:rFonts w:ascii="Calibri" w:eastAsia="Calibri" w:hAnsi="Calibri" w:cs="Calibri"/>
          <w:color w:val="000000"/>
          <w:sz w:val="19"/>
          <w:szCs w:val="19"/>
        </w:rPr>
        <w:t>Say-Do Gap: In this release, the term refers to the difference between a respondent’s stated 2023 two-year vehicle purchase intention and actual vehicle purchase behavior observed by the July 2025 follow-up. (</w:t>
      </w:r>
      <w:proofErr w:type="spellStart"/>
      <w:r>
        <w:rPr>
          <w:rFonts w:ascii="Calibri" w:eastAsia="Calibri" w:hAnsi="Calibri" w:cs="Calibri"/>
          <w:color w:val="000000"/>
          <w:sz w:val="19"/>
          <w:szCs w:val="19"/>
        </w:rPr>
        <w:t>ConsumerInsight</w:t>
      </w:r>
      <w:proofErr w:type="spellEnd"/>
      <w:r>
        <w:rPr>
          <w:rFonts w:ascii="Calibri" w:eastAsia="Calibri" w:hAnsi="Calibri" w:cs="Calibri"/>
          <w:color w:val="000000"/>
          <w:sz w:val="19"/>
          <w:szCs w:val="19"/>
        </w:rPr>
        <w:t xml:space="preserve"> Annual Automobile Syndicated Study, 2023–2025 matched analysis)</w:t>
      </w:r>
    </w:p>
    <w:p w:rsidR="00B71230" w:rsidRDefault="00640E4A">
      <w:pPr>
        <w:spacing w:after="120"/>
      </w:pPr>
      <w:r>
        <w:rPr>
          <w:rFonts w:ascii="Calibri" w:eastAsia="Calibri" w:hAnsi="Calibri" w:cs="Calibri"/>
          <w:color w:val="000000"/>
          <w:sz w:val="19"/>
          <w:szCs w:val="19"/>
        </w:rPr>
        <w:t>Survey base: Figures are based on 29,182 respondents who answered both the July 2023 and July 2025 surveys. The survey population consists of licensed drivers who own a vehicle or plan to purchase one, so results may differ from a general-consumer survey. (</w:t>
      </w:r>
      <w:proofErr w:type="spellStart"/>
      <w:r>
        <w:rPr>
          <w:rFonts w:ascii="Calibri" w:eastAsia="Calibri" w:hAnsi="Calibri" w:cs="Calibri"/>
          <w:color w:val="000000"/>
          <w:sz w:val="19"/>
          <w:szCs w:val="19"/>
        </w:rPr>
        <w:t>ConsumerInsight</w:t>
      </w:r>
      <w:proofErr w:type="spellEnd"/>
      <w:r>
        <w:rPr>
          <w:rFonts w:ascii="Calibri" w:eastAsia="Calibri" w:hAnsi="Calibri" w:cs="Calibri"/>
          <w:color w:val="000000"/>
          <w:sz w:val="19"/>
          <w:szCs w:val="19"/>
        </w:rPr>
        <w:t xml:space="preserve"> Annual Automobile Syndicated Study)</w:t>
      </w:r>
    </w:p>
    <w:p w:rsidR="00B71230" w:rsidRDefault="00640E4A">
      <w:pPr>
        <w:spacing w:after="120"/>
      </w:pPr>
      <w:r>
        <w:rPr>
          <w:rFonts w:ascii="Calibri" w:eastAsia="Calibri" w:hAnsi="Calibri" w:cs="Calibri"/>
          <w:color w:val="000000"/>
          <w:sz w:val="19"/>
          <w:szCs w:val="19"/>
        </w:rPr>
        <w:t>Percentage bases: The 52% purchase-intention share is among all matched respondents. The 25% conversion rate is among purchase intenders only. The 13% figure for intenders who purchased is the share of all matched respondents who both intended and bought. (</w:t>
      </w:r>
      <w:proofErr w:type="spellStart"/>
      <w:r>
        <w:rPr>
          <w:rFonts w:ascii="Calibri" w:eastAsia="Calibri" w:hAnsi="Calibri" w:cs="Calibri"/>
          <w:color w:val="000000"/>
          <w:sz w:val="19"/>
          <w:szCs w:val="19"/>
        </w:rPr>
        <w:t>ConsumerInsight</w:t>
      </w:r>
      <w:proofErr w:type="spellEnd"/>
      <w:r>
        <w:rPr>
          <w:rFonts w:ascii="Calibri" w:eastAsia="Calibri" w:hAnsi="Calibri" w:cs="Calibri"/>
          <w:color w:val="000000"/>
          <w:sz w:val="19"/>
          <w:szCs w:val="19"/>
        </w:rPr>
        <w:t xml:space="preserve"> Annual Automobile Syndicated Study)</w:t>
      </w:r>
    </w:p>
    <w:p w:rsidR="00B71230" w:rsidRDefault="00640E4A">
      <w:pPr>
        <w:spacing w:after="160"/>
      </w:pPr>
      <w:r>
        <w:rPr>
          <w:rFonts w:ascii="Calibri" w:eastAsia="Calibri" w:hAnsi="Calibri" w:cs="Calibri"/>
          <w:color w:val="000000"/>
          <w:sz w:val="19"/>
          <w:szCs w:val="19"/>
        </w:rPr>
        <w:t xml:space="preserve">Brand/model basis: Preferred-brand and preferred-model purchase rates are reported as 31% and 14% on the actual-buyer base (N = 5,495), and as 44% and 21% on the </w:t>
      </w:r>
      <w:r w:rsidR="007E2201" w:rsidRPr="007E2201">
        <w:rPr>
          <w:rFonts w:ascii="Calibri" w:eastAsia="Calibri" w:hAnsi="Calibri" w:cs="Calibri"/>
          <w:color w:val="000000"/>
          <w:sz w:val="19"/>
          <w:szCs w:val="19"/>
        </w:rPr>
        <w:t>planned-buyer base</w:t>
      </w:r>
      <w:r>
        <w:rPr>
          <w:rFonts w:ascii="Calibri" w:eastAsia="Calibri" w:hAnsi="Calibri" w:cs="Calibri"/>
          <w:color w:val="000000"/>
          <w:sz w:val="19"/>
          <w:szCs w:val="19"/>
        </w:rPr>
        <w:t>. (</w:t>
      </w:r>
      <w:proofErr w:type="spellStart"/>
      <w:r>
        <w:rPr>
          <w:rFonts w:ascii="Calibri" w:eastAsia="Calibri" w:hAnsi="Calibri" w:cs="Calibri"/>
          <w:color w:val="000000"/>
          <w:sz w:val="19"/>
          <w:szCs w:val="19"/>
        </w:rPr>
        <w:t>ConsumerInsight</w:t>
      </w:r>
      <w:proofErr w:type="spellEnd"/>
      <w:r>
        <w:rPr>
          <w:rFonts w:ascii="Calibri" w:eastAsia="Calibri" w:hAnsi="Calibri" w:cs="Calibri"/>
          <w:color w:val="000000"/>
          <w:sz w:val="19"/>
          <w:szCs w:val="19"/>
        </w:rPr>
        <w:t xml:space="preserve"> Annual Automobile Syndicated Study)</w:t>
      </w:r>
    </w:p>
    <w:p w:rsidR="00B71230" w:rsidRDefault="00640E4A">
      <w:pPr>
        <w:pBdr>
          <w:bottom w:val="single" w:sz="4" w:space="4" w:color="1F4E79"/>
        </w:pBdr>
        <w:spacing w:before="300" w:after="160"/>
      </w:pPr>
      <w:r>
        <w:rPr>
          <w:rFonts w:ascii="Calibri" w:eastAsia="Calibri" w:hAnsi="Calibri" w:cs="Calibri"/>
          <w:b/>
          <w:bCs/>
          <w:color w:val="1F4E79"/>
          <w:sz w:val="26"/>
          <w:szCs w:val="26"/>
        </w:rPr>
        <w:t>Methodology</w:t>
      </w:r>
    </w:p>
    <w:p w:rsidR="00B71230" w:rsidRDefault="00640E4A">
      <w:pPr>
        <w:spacing w:after="140"/>
      </w:pPr>
      <w:proofErr w:type="spellStart"/>
      <w:r>
        <w:rPr>
          <w:rFonts w:ascii="Calibri" w:eastAsia="Calibri" w:hAnsi="Calibri" w:cs="Calibri"/>
          <w:color w:val="000000"/>
          <w:sz w:val="21"/>
          <w:szCs w:val="21"/>
        </w:rPr>
        <w:t>ConsumerInsight</w:t>
      </w:r>
      <w:proofErr w:type="spellEnd"/>
      <w:r>
        <w:rPr>
          <w:rFonts w:ascii="Calibri" w:eastAsia="Calibri" w:hAnsi="Calibri" w:cs="Calibri"/>
          <w:color w:val="000000"/>
          <w:sz w:val="21"/>
          <w:szCs w:val="21"/>
        </w:rPr>
        <w:t xml:space="preserve"> used data from its Annual Automobile Syndicated Study, conducted every July since 2001 with an annual sample of roughly 100,000 automotive consumers (95,696 respondents in the 2025 wave). This analysis matched 29,182 respondents who participated in both the 2023 and 2025 waves and compared each respondent’s 2023 stated intention to purchase within two years with their actual vehicle purchase behavior as of the July 2025 survey.</w:t>
      </w:r>
    </w:p>
    <w:p w:rsidR="00B71230" w:rsidRDefault="00640E4A">
      <w:pPr>
        <w:pStyle w:val="a4"/>
        <w:numPr>
          <w:ilvl w:val="0"/>
          <w:numId w:val="2"/>
        </w:numPr>
        <w:spacing w:after="90"/>
      </w:pPr>
      <w:r>
        <w:rPr>
          <w:rFonts w:ascii="Calibri" w:eastAsia="Calibri" w:hAnsi="Calibri" w:cs="Calibri"/>
          <w:color w:val="000000"/>
          <w:sz w:val="21"/>
          <w:szCs w:val="21"/>
        </w:rPr>
        <w:t>Population: Licensed drivers who own a vehicle or plan to purchase one within two years</w:t>
      </w:r>
    </w:p>
    <w:p w:rsidR="00B71230" w:rsidRDefault="00640E4A">
      <w:pPr>
        <w:pStyle w:val="a4"/>
        <w:numPr>
          <w:ilvl w:val="0"/>
          <w:numId w:val="2"/>
        </w:numPr>
        <w:spacing w:after="90"/>
      </w:pPr>
      <w:r>
        <w:rPr>
          <w:rFonts w:ascii="Calibri" w:eastAsia="Calibri" w:hAnsi="Calibri" w:cs="Calibri"/>
          <w:color w:val="000000"/>
          <w:sz w:val="21"/>
          <w:szCs w:val="21"/>
        </w:rPr>
        <w:t xml:space="preserve">Sampling frame: </w:t>
      </w:r>
      <w:proofErr w:type="spellStart"/>
      <w:r>
        <w:rPr>
          <w:rFonts w:ascii="Calibri" w:eastAsia="Calibri" w:hAnsi="Calibri" w:cs="Calibri"/>
          <w:color w:val="000000"/>
          <w:sz w:val="21"/>
          <w:szCs w:val="21"/>
        </w:rPr>
        <w:t>ConsumerInsight’s</w:t>
      </w:r>
      <w:proofErr w:type="spellEnd"/>
      <w:r>
        <w:rPr>
          <w:rFonts w:ascii="Calibri" w:eastAsia="Calibri" w:hAnsi="Calibri" w:cs="Calibri"/>
          <w:color w:val="000000"/>
          <w:sz w:val="21"/>
          <w:szCs w:val="21"/>
        </w:rPr>
        <w:t xml:space="preserve"> </w:t>
      </w:r>
      <w:proofErr w:type="spellStart"/>
      <w:r>
        <w:rPr>
          <w:rFonts w:ascii="Calibri" w:eastAsia="Calibri" w:hAnsi="Calibri" w:cs="Calibri"/>
          <w:color w:val="000000"/>
          <w:sz w:val="21"/>
          <w:szCs w:val="21"/>
        </w:rPr>
        <w:t>Invight</w:t>
      </w:r>
      <w:proofErr w:type="spellEnd"/>
      <w:r>
        <w:rPr>
          <w:rFonts w:ascii="Calibri" w:eastAsia="Calibri" w:hAnsi="Calibri" w:cs="Calibri"/>
          <w:color w:val="000000"/>
          <w:sz w:val="21"/>
          <w:szCs w:val="21"/>
        </w:rPr>
        <w:t xml:space="preserve"> Panel and quota-based samples from major Korean portal-site panels</w:t>
      </w:r>
    </w:p>
    <w:p w:rsidR="00B71230" w:rsidRDefault="00640E4A">
      <w:pPr>
        <w:pStyle w:val="a4"/>
        <w:numPr>
          <w:ilvl w:val="0"/>
          <w:numId w:val="2"/>
        </w:numPr>
        <w:spacing w:after="90"/>
      </w:pPr>
      <w:r>
        <w:rPr>
          <w:rFonts w:ascii="Calibri" w:eastAsia="Calibri" w:hAnsi="Calibri" w:cs="Calibri"/>
          <w:color w:val="000000"/>
          <w:sz w:val="21"/>
          <w:szCs w:val="21"/>
        </w:rPr>
        <w:t>Sampling method: Gender- and age-based quota sampling</w:t>
      </w:r>
    </w:p>
    <w:p w:rsidR="00B71230" w:rsidRDefault="00640E4A">
      <w:pPr>
        <w:pStyle w:val="a4"/>
        <w:numPr>
          <w:ilvl w:val="0"/>
          <w:numId w:val="2"/>
        </w:numPr>
        <w:spacing w:after="90"/>
      </w:pPr>
      <w:r>
        <w:rPr>
          <w:rFonts w:ascii="Calibri" w:eastAsia="Calibri" w:hAnsi="Calibri" w:cs="Calibri"/>
          <w:color w:val="000000"/>
          <w:sz w:val="21"/>
          <w:szCs w:val="21"/>
        </w:rPr>
        <w:t>Survey mode: Email and mobile survey</w:t>
      </w:r>
    </w:p>
    <w:p w:rsidR="00B71230" w:rsidRDefault="00640E4A">
      <w:pPr>
        <w:pStyle w:val="a4"/>
        <w:numPr>
          <w:ilvl w:val="0"/>
          <w:numId w:val="2"/>
        </w:numPr>
        <w:spacing w:after="90"/>
      </w:pPr>
      <w:r>
        <w:rPr>
          <w:rFonts w:ascii="Calibri" w:eastAsia="Calibri" w:hAnsi="Calibri" w:cs="Calibri"/>
          <w:color w:val="000000"/>
          <w:sz w:val="21"/>
          <w:szCs w:val="21"/>
        </w:rPr>
        <w:t>Survey content: Usage &amp; Attitude (U&amp;A) and Consumer Experienced Quality (CEQ)</w:t>
      </w:r>
    </w:p>
    <w:p w:rsidR="00B71230" w:rsidRDefault="00640E4A">
      <w:pPr>
        <w:pStyle w:val="a4"/>
        <w:numPr>
          <w:ilvl w:val="0"/>
          <w:numId w:val="2"/>
        </w:numPr>
        <w:spacing w:after="90"/>
      </w:pPr>
      <w:r>
        <w:rPr>
          <w:rFonts w:ascii="Calibri" w:eastAsia="Calibri" w:hAnsi="Calibri" w:cs="Calibri"/>
          <w:color w:val="000000"/>
          <w:sz w:val="21"/>
          <w:szCs w:val="21"/>
        </w:rPr>
        <w:t>Survey period: July 2023 and July 2025</w:t>
      </w:r>
    </w:p>
    <w:p w:rsidR="00B71230" w:rsidRDefault="00640E4A">
      <w:pPr>
        <w:pBdr>
          <w:bottom w:val="single" w:sz="4" w:space="4" w:color="1F4E79"/>
        </w:pBdr>
        <w:spacing w:before="300" w:after="160"/>
      </w:pPr>
      <w:r>
        <w:rPr>
          <w:rFonts w:ascii="Calibri" w:eastAsia="Calibri" w:hAnsi="Calibri" w:cs="Calibri"/>
          <w:b/>
          <w:bCs/>
          <w:color w:val="1F4E79"/>
          <w:sz w:val="26"/>
          <w:szCs w:val="26"/>
        </w:rPr>
        <w:t xml:space="preserve">About </w:t>
      </w:r>
      <w:proofErr w:type="spellStart"/>
      <w:r>
        <w:rPr>
          <w:rFonts w:ascii="Calibri" w:eastAsia="Calibri" w:hAnsi="Calibri" w:cs="Calibri"/>
          <w:b/>
          <w:bCs/>
          <w:color w:val="1F4E79"/>
          <w:sz w:val="26"/>
          <w:szCs w:val="26"/>
        </w:rPr>
        <w:t>ConsumerInsight</w:t>
      </w:r>
      <w:proofErr w:type="spellEnd"/>
    </w:p>
    <w:p w:rsidR="00B71230" w:rsidRDefault="00640E4A">
      <w:pPr>
        <w:spacing w:after="140"/>
      </w:pPr>
      <w:proofErr w:type="spellStart"/>
      <w:r>
        <w:rPr>
          <w:rFonts w:ascii="Calibri" w:eastAsia="Calibri" w:hAnsi="Calibri" w:cs="Calibri"/>
          <w:color w:val="000000"/>
          <w:sz w:val="21"/>
          <w:szCs w:val="21"/>
        </w:rPr>
        <w:t>ConsumerInsight</w:t>
      </w:r>
      <w:proofErr w:type="spellEnd"/>
      <w:r>
        <w:rPr>
          <w:rFonts w:ascii="Calibri" w:eastAsia="Calibri" w:hAnsi="Calibri" w:cs="Calibri"/>
          <w:color w:val="000000"/>
          <w:sz w:val="21"/>
          <w:szCs w:val="21"/>
        </w:rPr>
        <w:t xml:space="preserve"> is a leading South Korean market research firm specializing in automotive consumer data and analytics. Since 2001, it has conducted the Annual Automobile Syndicated Study, surveying approximately 100,000 automotive consumers every July — one of the largest continuous automotive consumer studies in the world. Drawing on more than two decades of longitudinal data, </w:t>
      </w:r>
      <w:proofErr w:type="spellStart"/>
      <w:r>
        <w:rPr>
          <w:rFonts w:ascii="Calibri" w:eastAsia="Calibri" w:hAnsi="Calibri" w:cs="Calibri"/>
          <w:color w:val="000000"/>
          <w:sz w:val="21"/>
          <w:szCs w:val="21"/>
        </w:rPr>
        <w:t>ConsumerInsight</w:t>
      </w:r>
      <w:proofErr w:type="spellEnd"/>
      <w:r>
        <w:rPr>
          <w:rFonts w:ascii="Calibri" w:eastAsia="Calibri" w:hAnsi="Calibri" w:cs="Calibri"/>
          <w:color w:val="000000"/>
          <w:sz w:val="21"/>
          <w:szCs w:val="21"/>
        </w:rPr>
        <w:t xml:space="preserve"> provides in-depth insight into consumer behavior, market trends, and industry benchmarks.</w:t>
      </w:r>
    </w:p>
    <w:p w:rsidR="00B71230" w:rsidRDefault="00640E4A">
      <w:r>
        <w:rPr>
          <w:sz w:val="21"/>
          <w:szCs w:val="21"/>
        </w:rPr>
        <w:t xml:space="preserve">For more information, please visit </w:t>
      </w:r>
      <w:hyperlink r:id="rId7" w:history="1">
        <w:r>
          <w:rPr>
            <w:color w:val="0563C1"/>
            <w:sz w:val="21"/>
            <w:szCs w:val="21"/>
            <w:u w:val="single"/>
          </w:rPr>
          <w:t>https://www.consumerinsight.co.kr/eng/</w:t>
        </w:r>
      </w:hyperlink>
    </w:p>
    <w:p w:rsidR="00B71230" w:rsidRDefault="00640E4A">
      <w:pPr>
        <w:pBdr>
          <w:top w:val="single" w:sz="4" w:space="6" w:color="BFBFBF"/>
        </w:pBdr>
        <w:spacing w:before="260" w:after="40"/>
        <w:jc w:val="center"/>
      </w:pPr>
      <w:r>
        <w:rPr>
          <w:i/>
          <w:iCs/>
          <w:color w:val="808080"/>
          <w:sz w:val="15"/>
          <w:szCs w:val="15"/>
        </w:rPr>
        <w:t xml:space="preserve">Copyright © </w:t>
      </w:r>
      <w:proofErr w:type="spellStart"/>
      <w:r>
        <w:rPr>
          <w:i/>
          <w:iCs/>
          <w:color w:val="808080"/>
          <w:sz w:val="15"/>
          <w:szCs w:val="15"/>
        </w:rPr>
        <w:t>ConsumerInsight</w:t>
      </w:r>
      <w:proofErr w:type="spellEnd"/>
      <w:r>
        <w:rPr>
          <w:i/>
          <w:iCs/>
          <w:color w:val="808080"/>
          <w:sz w:val="15"/>
          <w:szCs w:val="15"/>
        </w:rPr>
        <w:t>. All rights reserved.</w:t>
      </w:r>
    </w:p>
    <w:p w:rsidR="00B71230" w:rsidRDefault="00640E4A">
      <w:pPr>
        <w:jc w:val="center"/>
      </w:pPr>
      <w:r>
        <w:rPr>
          <w:i/>
          <w:iCs/>
          <w:color w:val="808080"/>
          <w:sz w:val="15"/>
          <w:szCs w:val="15"/>
        </w:rPr>
        <w:t>This material may be quoted or cited by media for news purposes. Any other form of reproduction, distribution, or secondary use requires prior written consent.</w:t>
      </w:r>
    </w:p>
    <w:sectPr w:rsidR="00B71230">
      <w:footerReference w:type="default" r:id="rId8"/>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57DA5" w:rsidRDefault="00B57DA5">
      <w:r>
        <w:separator/>
      </w:r>
    </w:p>
  </w:endnote>
  <w:endnote w:type="continuationSeparator" w:id="0">
    <w:p w:rsidR="00B57DA5" w:rsidRDefault="00B57D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1230" w:rsidRDefault="00640E4A">
    <w:pPr>
      <w:jc w:val="center"/>
    </w:pPr>
    <w:r>
      <w:rPr>
        <w:color w:val="808080"/>
        <w:sz w:val="17"/>
        <w:szCs w:val="17"/>
      </w:rPr>
      <w:t xml:space="preserve">Page </w:t>
    </w:r>
    <w:r>
      <w:rPr>
        <w:color w:val="808080"/>
        <w:sz w:val="17"/>
        <w:szCs w:val="17"/>
      </w:rPr>
      <w:fldChar w:fldCharType="begin"/>
    </w:r>
    <w:r>
      <w:rPr>
        <w:color w:val="808080"/>
        <w:sz w:val="17"/>
        <w:szCs w:val="17"/>
      </w:rPr>
      <w:instrText>PAGE</w:instrText>
    </w:r>
    <w:r>
      <w:rPr>
        <w:color w:val="808080"/>
        <w:sz w:val="17"/>
        <w:szCs w:val="17"/>
      </w:rPr>
      <w:fldChar w:fldCharType="separate"/>
    </w:r>
    <w:r w:rsidR="001B1624">
      <w:rPr>
        <w:noProof/>
        <w:color w:val="808080"/>
        <w:sz w:val="17"/>
        <w:szCs w:val="17"/>
      </w:rPr>
      <w:t>1</w:t>
    </w:r>
    <w:r>
      <w:rPr>
        <w:color w:val="808080"/>
        <w:sz w:val="17"/>
        <w:szCs w:val="17"/>
      </w:rPr>
      <w:fldChar w:fldCharType="end"/>
    </w:r>
    <w:r>
      <w:rPr>
        <w:color w:val="808080"/>
        <w:sz w:val="17"/>
        <w:szCs w:val="17"/>
      </w:rPr>
      <w:t xml:space="preserve"> of </w:t>
    </w:r>
    <w:r>
      <w:rPr>
        <w:color w:val="808080"/>
        <w:sz w:val="17"/>
        <w:szCs w:val="17"/>
      </w:rPr>
      <w:fldChar w:fldCharType="begin"/>
    </w:r>
    <w:r>
      <w:rPr>
        <w:color w:val="808080"/>
        <w:sz w:val="17"/>
        <w:szCs w:val="17"/>
      </w:rPr>
      <w:instrText>NUMPAGES</w:instrText>
    </w:r>
    <w:r>
      <w:rPr>
        <w:color w:val="808080"/>
        <w:sz w:val="17"/>
        <w:szCs w:val="17"/>
      </w:rPr>
      <w:fldChar w:fldCharType="separate"/>
    </w:r>
    <w:r w:rsidR="001B1624">
      <w:rPr>
        <w:noProof/>
        <w:color w:val="808080"/>
        <w:sz w:val="17"/>
        <w:szCs w:val="17"/>
      </w:rPr>
      <w:t>1</w:t>
    </w:r>
    <w:r>
      <w:rPr>
        <w:color w:val="808080"/>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57DA5" w:rsidRDefault="00B57DA5">
      <w:r>
        <w:separator/>
      </w:r>
    </w:p>
  </w:footnote>
  <w:footnote w:type="continuationSeparator" w:id="0">
    <w:p w:rsidR="00B57DA5" w:rsidRDefault="00B57D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776419"/>
    <w:multiLevelType w:val="hybridMultilevel"/>
    <w:tmpl w:val="B100DED6"/>
    <w:lvl w:ilvl="0" w:tplc="4660228A">
      <w:start w:val="1"/>
      <w:numFmt w:val="bullet"/>
      <w:lvlText w:val="●"/>
      <w:lvlJc w:val="left"/>
      <w:pPr>
        <w:ind w:left="720" w:hanging="360"/>
      </w:pPr>
    </w:lvl>
    <w:lvl w:ilvl="1" w:tplc="65AE1A12">
      <w:start w:val="1"/>
      <w:numFmt w:val="bullet"/>
      <w:lvlText w:val="○"/>
      <w:lvlJc w:val="left"/>
      <w:pPr>
        <w:ind w:left="1440" w:hanging="360"/>
      </w:pPr>
    </w:lvl>
    <w:lvl w:ilvl="2" w:tplc="A548654E">
      <w:start w:val="1"/>
      <w:numFmt w:val="bullet"/>
      <w:lvlText w:val="■"/>
      <w:lvlJc w:val="left"/>
      <w:pPr>
        <w:ind w:left="2160" w:hanging="360"/>
      </w:pPr>
    </w:lvl>
    <w:lvl w:ilvl="3" w:tplc="F4E0BE0E">
      <w:start w:val="1"/>
      <w:numFmt w:val="bullet"/>
      <w:lvlText w:val="●"/>
      <w:lvlJc w:val="left"/>
      <w:pPr>
        <w:ind w:left="2880" w:hanging="360"/>
      </w:pPr>
    </w:lvl>
    <w:lvl w:ilvl="4" w:tplc="A01274A8">
      <w:start w:val="1"/>
      <w:numFmt w:val="bullet"/>
      <w:lvlText w:val="○"/>
      <w:lvlJc w:val="left"/>
      <w:pPr>
        <w:ind w:left="3600" w:hanging="360"/>
      </w:pPr>
    </w:lvl>
    <w:lvl w:ilvl="5" w:tplc="E864D59E">
      <w:start w:val="1"/>
      <w:numFmt w:val="bullet"/>
      <w:lvlText w:val="■"/>
      <w:lvlJc w:val="left"/>
      <w:pPr>
        <w:ind w:left="4320" w:hanging="360"/>
      </w:pPr>
    </w:lvl>
    <w:lvl w:ilvl="6" w:tplc="9C66738E">
      <w:start w:val="1"/>
      <w:numFmt w:val="bullet"/>
      <w:lvlText w:val="●"/>
      <w:lvlJc w:val="left"/>
      <w:pPr>
        <w:ind w:left="5040" w:hanging="360"/>
      </w:pPr>
    </w:lvl>
    <w:lvl w:ilvl="7" w:tplc="82EAC740">
      <w:start w:val="1"/>
      <w:numFmt w:val="bullet"/>
      <w:lvlText w:val="●"/>
      <w:lvlJc w:val="left"/>
      <w:pPr>
        <w:ind w:left="5760" w:hanging="360"/>
      </w:pPr>
    </w:lvl>
    <w:lvl w:ilvl="8" w:tplc="93A6D20A">
      <w:start w:val="1"/>
      <w:numFmt w:val="bullet"/>
      <w:lvlText w:val="●"/>
      <w:lvlJc w:val="left"/>
      <w:pPr>
        <w:ind w:left="6480" w:hanging="360"/>
      </w:pPr>
    </w:lvl>
  </w:abstractNum>
  <w:abstractNum w:abstractNumId="1" w15:restartNumberingAfterBreak="0">
    <w:nsid w:val="23620D74"/>
    <w:multiLevelType w:val="hybridMultilevel"/>
    <w:tmpl w:val="B5D42D90"/>
    <w:lvl w:ilvl="0" w:tplc="3E906946">
      <w:start w:val="1"/>
      <w:numFmt w:val="bullet"/>
      <w:lvlText w:val="•"/>
      <w:lvlJc w:val="left"/>
      <w:pPr>
        <w:ind w:left="260" w:hanging="200"/>
      </w:pPr>
    </w:lvl>
    <w:lvl w:ilvl="1" w:tplc="3FB43316">
      <w:numFmt w:val="decimal"/>
      <w:lvlText w:val=""/>
      <w:lvlJc w:val="left"/>
    </w:lvl>
    <w:lvl w:ilvl="2" w:tplc="1D14D634">
      <w:numFmt w:val="decimal"/>
      <w:lvlText w:val=""/>
      <w:lvlJc w:val="left"/>
    </w:lvl>
    <w:lvl w:ilvl="3" w:tplc="3A2ABFE0">
      <w:numFmt w:val="decimal"/>
      <w:lvlText w:val=""/>
      <w:lvlJc w:val="left"/>
    </w:lvl>
    <w:lvl w:ilvl="4" w:tplc="72EAEB90">
      <w:numFmt w:val="decimal"/>
      <w:lvlText w:val=""/>
      <w:lvlJc w:val="left"/>
    </w:lvl>
    <w:lvl w:ilvl="5" w:tplc="75B076EE">
      <w:numFmt w:val="decimal"/>
      <w:lvlText w:val=""/>
      <w:lvlJc w:val="left"/>
    </w:lvl>
    <w:lvl w:ilvl="6" w:tplc="2CEA575A">
      <w:numFmt w:val="decimal"/>
      <w:lvlText w:val=""/>
      <w:lvlJc w:val="left"/>
    </w:lvl>
    <w:lvl w:ilvl="7" w:tplc="A2122F0E">
      <w:numFmt w:val="decimal"/>
      <w:lvlText w:val=""/>
      <w:lvlJc w:val="left"/>
    </w:lvl>
    <w:lvl w:ilvl="8" w:tplc="746841A8">
      <w:numFmt w:val="decimal"/>
      <w:lvlText w:val=""/>
      <w:lvlJc w:val="left"/>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bordersDoNotSurroundHeader/>
  <w:bordersDoNotSurroundFooter/>
  <w:proofState w:spelling="clean" w:grammar="clean"/>
  <w:defaultTabStop w:val="80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1230"/>
    <w:rsid w:val="00095266"/>
    <w:rsid w:val="001B1624"/>
    <w:rsid w:val="004C29DF"/>
    <w:rsid w:val="00640E4A"/>
    <w:rsid w:val="00721BC7"/>
    <w:rsid w:val="00790077"/>
    <w:rsid w:val="007C2036"/>
    <w:rsid w:val="007E2201"/>
    <w:rsid w:val="00911147"/>
    <w:rsid w:val="00A549F4"/>
    <w:rsid w:val="00A654D3"/>
    <w:rsid w:val="00AF675C"/>
    <w:rsid w:val="00B17A12"/>
    <w:rsid w:val="00B57DA5"/>
    <w:rsid w:val="00B71230"/>
    <w:rsid w:val="00BE2C69"/>
    <w:rsid w:val="00C50EFA"/>
    <w:rsid w:val="00D20E0B"/>
    <w:rsid w:val="00D31E01"/>
    <w:rsid w:val="00D3764D"/>
    <w:rsid w:val="00D92397"/>
    <w:rsid w:val="00D93805"/>
    <w:rsid w:val="00DE3E4E"/>
    <w:rsid w:val="00E42E1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CEF313"/>
  <w15:docId w15:val="{F4A2AC8E-4560-4E03-AAC5-B790636F7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ko-K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wordWrap w:val="0"/>
      <w:autoSpaceDE w:val="0"/>
      <w:autoSpaceDN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굵은 텍스트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Char"/>
    <w:uiPriority w:val="99"/>
    <w:semiHidden/>
    <w:unhideWhenUsed/>
  </w:style>
  <w:style w:type="character" w:customStyle="1" w:styleId="Char">
    <w:name w:val="각주 텍스트 Char"/>
    <w:link w:val="a7"/>
    <w:uiPriority w:val="99"/>
    <w:semiHidden/>
    <w:unhideWhenUsed/>
    <w:rPr>
      <w:sz w:val="20"/>
      <w:szCs w:val="20"/>
    </w:rPr>
  </w:style>
  <w:style w:type="character" w:styleId="a8">
    <w:name w:val="endnote reference"/>
    <w:uiPriority w:val="99"/>
    <w:semiHidden/>
    <w:unhideWhenUsed/>
    <w:rPr>
      <w:vertAlign w:val="superscript"/>
    </w:rPr>
  </w:style>
  <w:style w:type="paragraph" w:styleId="a9">
    <w:name w:val="endnote text"/>
    <w:link w:val="Char0"/>
    <w:uiPriority w:val="99"/>
    <w:semiHidden/>
    <w:unhideWhenUsed/>
  </w:style>
  <w:style w:type="character" w:customStyle="1" w:styleId="Char0">
    <w:name w:val="미주 텍스트 Char"/>
    <w:link w:val="a9"/>
    <w:uiPriority w:val="99"/>
    <w:semiHidden/>
    <w:unhideWhenUsed/>
    <w:rPr>
      <w:sz w:val="20"/>
      <w:szCs w:val="20"/>
    </w:rPr>
  </w:style>
  <w:style w:type="paragraph" w:styleId="aa">
    <w:name w:val="header"/>
    <w:basedOn w:val="a"/>
    <w:link w:val="Char1"/>
    <w:uiPriority w:val="99"/>
    <w:unhideWhenUsed/>
    <w:rsid w:val="00C50EFA"/>
    <w:pPr>
      <w:tabs>
        <w:tab w:val="center" w:pos="4513"/>
        <w:tab w:val="right" w:pos="9026"/>
      </w:tabs>
      <w:snapToGrid w:val="0"/>
    </w:pPr>
  </w:style>
  <w:style w:type="character" w:customStyle="1" w:styleId="Char1">
    <w:name w:val="머리글 Char"/>
    <w:basedOn w:val="a0"/>
    <w:link w:val="aa"/>
    <w:uiPriority w:val="99"/>
    <w:rsid w:val="00C50EFA"/>
  </w:style>
  <w:style w:type="paragraph" w:styleId="ab">
    <w:name w:val="footer"/>
    <w:basedOn w:val="a"/>
    <w:link w:val="Char2"/>
    <w:uiPriority w:val="99"/>
    <w:unhideWhenUsed/>
    <w:rsid w:val="00C50EFA"/>
    <w:pPr>
      <w:tabs>
        <w:tab w:val="center" w:pos="4513"/>
        <w:tab w:val="right" w:pos="9026"/>
      </w:tabs>
      <w:snapToGrid w:val="0"/>
    </w:pPr>
  </w:style>
  <w:style w:type="character" w:customStyle="1" w:styleId="Char2">
    <w:name w:val="바닥글 Char"/>
    <w:basedOn w:val="a0"/>
    <w:link w:val="ab"/>
    <w:uiPriority w:val="99"/>
    <w:rsid w:val="00C50E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consumerinsight.co.kr/e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TotalTime>
  <Pages>3</Pages>
  <Words>1298</Words>
  <Characters>7403</Characters>
  <Application>Microsoft Office Word</Application>
  <DocSecurity>0</DocSecurity>
  <Lines>61</Lines>
  <Paragraphs>17</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8684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chowk</cp:lastModifiedBy>
  <cp:revision>9</cp:revision>
  <dcterms:created xsi:type="dcterms:W3CDTF">2026-07-03T02:54:00Z</dcterms:created>
  <dcterms:modified xsi:type="dcterms:W3CDTF">2026-07-07T07:24:00Z</dcterms:modified>
</cp:coreProperties>
</file>